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FC3244"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2022年度社会人才招聘正式启动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C3244">
        <w:rPr>
          <w:rFonts w:ascii="宋体" w:eastAsia="宋体" w:hAnsi="宋体" w:cs="宋体"/>
          <w:b/>
          <w:bCs/>
          <w:kern w:val="0"/>
          <w:sz w:val="27"/>
          <w:szCs w:val="27"/>
        </w:rPr>
        <w:t>医</w:t>
      </w:r>
      <w:proofErr w:type="gramEnd"/>
      <w:r w:rsidRPr="00FC3244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院 简 </w:t>
      </w:r>
      <w:proofErr w:type="gramStart"/>
      <w:r w:rsidRPr="00FC3244">
        <w:rPr>
          <w:rFonts w:ascii="宋体" w:eastAsia="宋体" w:hAnsi="宋体" w:cs="宋体"/>
          <w:b/>
          <w:bCs/>
          <w:kern w:val="0"/>
          <w:sz w:val="27"/>
          <w:szCs w:val="27"/>
        </w:rPr>
        <w:t>介</w:t>
      </w:r>
      <w:proofErr w:type="gramEnd"/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空军军医大学第三附属医院（口腔医院）始建于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1935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年，是中国人自己创办的第一所口腔专科医院，其口腔临床医学是首批国家重点学科，口腔基础医学是首批国家重点（培育）学科，医院是全国首批博士和硕士授权学科、博士后流动站组成学科、国家首批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“211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工程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重点学科、教育部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长江学者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特聘教授设岗学科、全军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重中之重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建设学科单位，医院拥有军事口腔医学国家重点实验室和口腔疾病临床研究中心。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医院现开设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15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个临床特色科室，在固定义齿、种植义齿、美容修复、牙颌畸形矫治、</w:t>
      </w:r>
      <w:proofErr w:type="gramStart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牙髓尖周治疗</w:t>
      </w:r>
      <w:proofErr w:type="gramEnd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、牙周美容、牙齿大面积缺损修复、疑难颞下颌关节病治疗等领域的医疗技术居国内领先水平，成功实施了世界首例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坑面女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、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缺面男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造脸、颌面部巨大神经纤维瘤切除及颜面整形手术，在国内外产生了巨大影响。同时乳牙干细胞牙髓再生技术和世界首台</w:t>
      </w:r>
      <w:proofErr w:type="gramStart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自主式种植牙</w:t>
      </w:r>
      <w:proofErr w:type="gramEnd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机器人的成功研发在世界口腔医学领域产生了重大影响。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lastRenderedPageBreak/>
        <w:t>军事口腔医学国家重点实验室现有科研用房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8760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平方米，仪器设备总价值超过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1.2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亿元，拥有口腔医学图书馆、国际标准化的动物实验中心、大型实验仪器中心和先进的数字化技术中心，设有颌面战（创）伤、特发性口腔疾病、口腔生物力学与材料学、组织工程与再生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4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个研究平台。依托军事口腔医学国家重点实验室，研发的多项科研成果已达到国际先进水平。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医院现有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中国工程院院士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1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人，教育部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“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长江学者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”6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人，国家级学会副主委以上任职经历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43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人次，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博导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31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人，</w:t>
      </w:r>
      <w:proofErr w:type="gramStart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硕导</w:t>
      </w:r>
      <w:proofErr w:type="gramEnd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87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人，副高以上专业技术人员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109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</w:rPr>
        <w:t>人。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近五年来，医院先后获批国家、军队省部级课题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350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余项，其中国家、军队重大重点课题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30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余项，包括国家重点研发计划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1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“973”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首席科学家项目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1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“863”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青年科学家项目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3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项，国家自然科学基金重点项目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5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项，重大国际合作项目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3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项，优秀青年基金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2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项，获</w:t>
      </w:r>
      <w:proofErr w:type="gramStart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批科研</w:t>
      </w:r>
      <w:proofErr w:type="gramEnd"/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经费超过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2.02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亿元。获得中国口腔医学界目前唯一的国家科技进步一等奖，以及国家科技进步二等奖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3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项，军队及省部级科技成果一等奖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14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项，中华口腔医学会科技奖一等奖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2</w:t>
      </w:r>
      <w:r w:rsidRPr="00FC3244">
        <w:rPr>
          <w:rFonts w:ascii="Helvetica" w:eastAsia="宋体" w:hAnsi="Helvetica" w:cs="Helvetica"/>
          <w:color w:val="000000"/>
          <w:spacing w:val="8"/>
          <w:kern w:val="0"/>
          <w:sz w:val="24"/>
          <w:szCs w:val="24"/>
          <w:shd w:val="clear" w:color="auto" w:fill="FFFFFF"/>
        </w:rPr>
        <w:t>项。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C3244" w:rsidRPr="00FC3244" w:rsidRDefault="00FC3244" w:rsidP="00FC3244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8"/>
          <w:kern w:val="0"/>
          <w:sz w:val="20"/>
          <w:szCs w:val="20"/>
        </w:rPr>
      </w:pP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特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需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人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才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招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聘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计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划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招聘岗位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长期招聘从事医疗、科研等工作的高层次特需人才。人才引进计划按社会聘用人员身份引进，具体按照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简化流程、一事一议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的办法，重点遴选学科建设急需的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高精尖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和紧缺人才。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招聘条件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A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类是国家级预备青年英才，要求年龄不超过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45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周岁，博士研究生学历，从事本学科前沿领域研究工作，学术造诣深厚，取得国内外公认的学术成果，达到或者接近国际先进水平。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B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类是省级预备青年英才，要求年龄不超过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40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周岁，博士研究生学历，毕业院校（第一学历同）为国家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985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、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211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、双一流建设院校或原卫生部直属重点医学院校，从事本专业重点或者优先发展专业方向，取得一定研究成果，具有国内外一流大学的博士后科研经历。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C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类是校级预备青年英才，要求年龄不超过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35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岁，博士研究生学历，毕业院校为国家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985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、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211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、双一流建设院校或原卫生部直属重点医学院校，具有较大发展潜力。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D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类是医院预备青年英才，国家统招全日制博士研究生学历，要求年龄不超过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35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岁，毕业院校为国内知名高校，具有发展潜力。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相关待遇（详情面议）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A1992" id="矩形 1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HRlG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</w:rPr>
        <w:t>基本薪酬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A8C06" id="矩形 1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8+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Ld8+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A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类人才年薪为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60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万元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B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类人才年薪为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45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万元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C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类人才年薪为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万元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D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类人才年薪为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万元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</w:rPr>
        <w:t>其他待遇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lastRenderedPageBreak/>
        <w:t>安家补贴：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享受安家补贴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15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万元。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住房补贴：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经单位审核确有住宿需求的，在房源允许的情况下分配保障住房，或享受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2000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元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/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月住房补贴。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科研启动费：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享受与军队人员同等待遇的各类科研经费和人才资助计划，并视情给予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-50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万科研启动经费。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职称聘任：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取得地方资格证书后，符合医院聘任条件人员可不受比例限制，直接聘任。符合学校相关教学职称评审条件的，可直接聘任教学职称。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FC3244">
        <w:rPr>
          <w:rFonts w:ascii="宋体" w:eastAsia="宋体" w:hAnsi="宋体" w:cs="宋体"/>
          <w:b/>
          <w:bCs/>
          <w:kern w:val="0"/>
          <w:sz w:val="27"/>
          <w:szCs w:val="27"/>
        </w:rPr>
        <w:t>社 会 人 才 招 聘 计 划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招聘需求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2022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年口腔医院招聘需求共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113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人，包括医疗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36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人、医技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9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人、药剂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人、工程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人、实验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19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人、实验员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4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人、教学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人、护理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39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人。</w:t>
      </w:r>
      <w:r w:rsidRPr="00FC3244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4"/>
          <w:szCs w:val="24"/>
        </w:rPr>
        <w:t>（岗位详细阅读原文可见）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，招聘范围为口腔临床医学、口腔基础医学、护理学、皮肤病学等相关专业。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 </w:t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18109" cy="6078847"/>
            <wp:effectExtent l="0" t="0" r="6985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62" cy="61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C994F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C3244" w:rsidRPr="00FC3244" w:rsidRDefault="00FC3244" w:rsidP="00FC324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招聘条件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政治要求：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拥护中国共产党的领导，热爱军队医学事业，遵纪守法，未参加过邪教组织。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lastRenderedPageBreak/>
        <w:t>年龄要求：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初级专业技术岗位不超过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35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周岁，中级专业技术岗位不超过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45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岁，高级专业技术岗位不超过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50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周岁（截止时间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2021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年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12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月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31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日）。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学历要求：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医疗、教学岗位原则上为硕士以上学历，其他系列为本科以上，同时应具备相应学历的学位。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资质要求：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取得相应岗位所需的执业证书和考试成绩合格证明。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身体要求：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外表端庄，精神状态良好，具备完成工作任务的身体和心理素质，达到公务员体格检查标准。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相关待遇(详情面议)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工资福利：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主要包括基本工资、绩效工资、津贴补贴、电话补助、防暑降温费、采暖补贴、午餐补助等。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社会保险：</w:t>
      </w:r>
      <w:r w:rsidRPr="00FC3244">
        <w:rPr>
          <w:rFonts w:ascii="Helvetica" w:eastAsia="Microsoft YaHei UI" w:hAnsi="Helvetica" w:cs="Helvetica"/>
          <w:color w:val="000000"/>
          <w:spacing w:val="8"/>
          <w:kern w:val="0"/>
          <w:sz w:val="24"/>
          <w:szCs w:val="24"/>
        </w:rPr>
        <w:t>依法缴纳养老、医疗、生育、失业、工伤保险，办理住房公积金。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继续教育：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鼓励继续深造，攻读本校全日制研究生，可保留聘用岗位，发放基本工资，报销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60%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学费。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职业发展：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医院鼓励、引导聘用人员进行职业发展规划，在聘用人员的使用上实行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“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唯贤唯能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”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的原则，为其提供与军人相同的职业发展机会。符合条件的聘用人员可以竞聘科室副主任、护士长等领导职务，推荐考取军队文职人员，可以申报国家、军队、学校、医院等各级各类人才资助计划。</w:t>
      </w: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其他福利：</w:t>
      </w:r>
      <w:r w:rsidRPr="00FC3244">
        <w:rPr>
          <w:rFonts w:ascii="Helvetica" w:eastAsia="Microsoft YaHei UI" w:hAnsi="Helvetica" w:cs="Helvetica"/>
          <w:color w:val="000000"/>
          <w:spacing w:val="8"/>
          <w:kern w:val="0"/>
          <w:sz w:val="24"/>
          <w:szCs w:val="24"/>
        </w:rPr>
        <w:t>包括每年健康查体，子女优先入托，子女上下学班车接送，暑期夏令营，本人及亲属就医绿色通道等福利。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3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FC3244">
        <w:rPr>
          <w:rFonts w:ascii="宋体" w:eastAsia="宋体" w:hAnsi="宋体" w:cs="宋体"/>
          <w:b/>
          <w:bCs/>
          <w:kern w:val="0"/>
          <w:sz w:val="27"/>
          <w:szCs w:val="27"/>
        </w:rPr>
        <w:t>招 聘 程 序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报名时间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3244" w:rsidRPr="00FC3244" w:rsidRDefault="00FC3244" w:rsidP="00FC324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即日起至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2022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年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月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20</w:t>
      </w:r>
      <w:r w:rsidRPr="00FC3244">
        <w:rPr>
          <w:rFonts w:ascii="Helvetica" w:eastAsia="Microsoft YaHei UI" w:hAnsi="Helvetica" w:cs="Helvetica"/>
          <w:color w:val="333333"/>
          <w:spacing w:val="8"/>
          <w:kern w:val="0"/>
          <w:sz w:val="24"/>
          <w:szCs w:val="24"/>
        </w:rPr>
        <w:t>日截止，特需人才招聘长期有效。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left" o:hrstd="t" o:hrnoshade="t" o:hr="t" fillcolor="#333" stroked="f"/>
        </w:pic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4C00"/>
          <w:kern w:val="0"/>
          <w:sz w:val="24"/>
          <w:szCs w:val="24"/>
        </w:rPr>
        <w:t>报名方式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应聘者请</w:t>
      </w:r>
      <w:hyperlink r:id="rId6" w:tgtFrame="_blank" w:history="1">
        <w:r w:rsidRPr="00FC3244">
          <w:rPr>
            <w:rFonts w:ascii="Helvetica" w:eastAsia="宋体" w:hAnsi="Helvetica" w:cs="Helvetica"/>
            <w:b/>
            <w:bCs/>
            <w:color w:val="FF0000"/>
            <w:spacing w:val="8"/>
            <w:kern w:val="0"/>
            <w:sz w:val="24"/>
            <w:szCs w:val="24"/>
          </w:rPr>
          <w:t>点击链接</w:t>
        </w:r>
      </w:hyperlink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或扫描下方</w:t>
      </w:r>
      <w:proofErr w:type="gramStart"/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二维码填写</w:t>
      </w:r>
      <w:proofErr w:type="gramEnd"/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个人应聘信息，并按照要求上</w:t>
      </w:r>
      <w:proofErr w:type="gramStart"/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传相关</w:t>
      </w:r>
      <w:proofErr w:type="gramEnd"/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证明材料。如附件过大，可另外发送至邮箱：</w:t>
      </w:r>
      <w:r w:rsidRPr="00FC3244">
        <w:rPr>
          <w:rFonts w:ascii="Helvetica" w:eastAsia="宋体" w:hAnsi="Helvetica" w:cs="Helvetica"/>
          <w:b/>
          <w:bCs/>
          <w:color w:val="FF0000"/>
          <w:spacing w:val="8"/>
          <w:kern w:val="0"/>
          <w:sz w:val="24"/>
          <w:szCs w:val="24"/>
        </w:rPr>
        <w:t>kqrlzyb@126.com</w:t>
      </w:r>
      <w:r w:rsidRPr="00FC3244">
        <w:rPr>
          <w:rFonts w:ascii="Helvetica" w:eastAsia="宋体" w:hAnsi="Helvetica" w:cs="Helvetica"/>
          <w:b/>
          <w:bCs/>
          <w:color w:val="FF0000"/>
          <w:spacing w:val="8"/>
          <w:kern w:val="0"/>
          <w:sz w:val="24"/>
          <w:szCs w:val="24"/>
        </w:rPr>
        <w:t>，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应聘人员可加入下方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QQ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答疑群。医院将通过简历筛选、资格审查、笔试、面试、体检、心理测试等程序和方式择优确定录用人选，招聘后期相关通知将通过个人电子邮箱或短信方式发送至应聘者，请及时关注。</w:t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0000" cy="38100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lastRenderedPageBreak/>
        <w:t>应聘</w:t>
      </w:r>
      <w:proofErr w:type="gramStart"/>
      <w:r w:rsidRPr="00FC3244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人员扫码登记</w:t>
      </w:r>
      <w:proofErr w:type="gramEnd"/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  <w:r w:rsidRPr="00FC3244">
        <w:rPr>
          <w:rFonts w:ascii="宋体" w:eastAsia="宋体" w:hAnsi="宋体" w:cs="宋体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联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系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方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 xml:space="preserve"> </w:t>
      </w:r>
      <w:r w:rsidRPr="00FC3244">
        <w:rPr>
          <w:rFonts w:ascii="Helvetica" w:eastAsia="宋体" w:hAnsi="Helvetica" w:cs="Helvetica"/>
          <w:b/>
          <w:bCs/>
          <w:kern w:val="0"/>
          <w:sz w:val="27"/>
          <w:szCs w:val="27"/>
        </w:rPr>
        <w:t>式</w:t>
      </w:r>
    </w:p>
    <w:p w:rsidR="00FC3244" w:rsidRPr="00FC3244" w:rsidRDefault="00FC3244" w:rsidP="00FC32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  <w:u w:val="single"/>
        </w:rPr>
        <w:t>联</w:t>
      </w: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  <w:u w:val="single"/>
        </w:rPr>
        <w:t xml:space="preserve">  </w:t>
      </w: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  <w:u w:val="single"/>
        </w:rPr>
        <w:t>系</w:t>
      </w: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  <w:u w:val="single"/>
        </w:rPr>
        <w:t xml:space="preserve">  </w:t>
      </w:r>
      <w:r w:rsidRPr="00FC3244">
        <w:rPr>
          <w:rFonts w:ascii="Helvetica" w:eastAsia="宋体" w:hAnsi="Helvetica" w:cs="Helvetica"/>
          <w:b/>
          <w:bCs/>
          <w:color w:val="0080FF"/>
          <w:kern w:val="0"/>
          <w:sz w:val="24"/>
          <w:szCs w:val="24"/>
          <w:u w:val="single"/>
        </w:rPr>
        <w:t>人：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张老师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 xml:space="preserve">    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刘老师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 xml:space="preserve">    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昝老师</w:t>
      </w:r>
      <w:r w:rsidRPr="00FC3244">
        <w:rPr>
          <w:rFonts w:ascii="Helvetica" w:eastAsia="宋体" w:hAnsi="Helvetica" w:cs="Helvetica"/>
          <w:kern w:val="0"/>
          <w:sz w:val="24"/>
          <w:szCs w:val="24"/>
        </w:rPr>
        <w:br/>
      </w:r>
    </w:p>
    <w:p w:rsidR="00FC3244" w:rsidRPr="00FC3244" w:rsidRDefault="00FC3244" w:rsidP="00FC3244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联系电话：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029-84776199    029-84776380</w:t>
      </w:r>
    </w:p>
    <w:p w:rsidR="00FC3244" w:rsidRPr="00FC3244" w:rsidRDefault="00FC3244" w:rsidP="00FC3244">
      <w:pPr>
        <w:widowControl/>
        <w:spacing w:line="48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FC3244">
        <w:rPr>
          <w:rFonts w:ascii="Helvetica" w:eastAsia="宋体" w:hAnsi="Helvetica" w:cs="Helvetica"/>
          <w:b/>
          <w:bCs/>
          <w:color w:val="0080FF"/>
          <w:spacing w:val="8"/>
          <w:kern w:val="0"/>
          <w:sz w:val="24"/>
          <w:szCs w:val="24"/>
          <w:u w:val="single"/>
        </w:rPr>
        <w:t>通讯地址：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陕西省西安市长乐西路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145</w:t>
      </w:r>
      <w:r w:rsidRPr="00FC3244">
        <w:rPr>
          <w:rFonts w:ascii="Helvetica" w:eastAsia="宋体" w:hAnsi="Helvetica" w:cs="Helvetica"/>
          <w:spacing w:val="8"/>
          <w:kern w:val="0"/>
          <w:sz w:val="24"/>
          <w:szCs w:val="24"/>
        </w:rPr>
        <w:t>号口腔医院人力资源办</w:t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FC32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51500" cy="3177417"/>
            <wp:effectExtent l="0" t="0" r="6350" b="444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76" cy="31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kern w:val="0"/>
          <w:sz w:val="24"/>
          <w:szCs w:val="24"/>
        </w:rPr>
        <w:t>特需人才</w:t>
      </w:r>
    </w:p>
    <w:p w:rsidR="00FC3244" w:rsidRPr="00FC3244" w:rsidRDefault="00FC3244" w:rsidP="00FC32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C3244">
        <w:rPr>
          <w:rFonts w:ascii="宋体" w:eastAsia="宋体" w:hAnsi="宋体" w:cs="宋体"/>
          <w:b/>
          <w:bCs/>
          <w:kern w:val="0"/>
          <w:sz w:val="24"/>
          <w:szCs w:val="24"/>
        </w:rPr>
        <w:t>社会招聘人才</w:t>
      </w:r>
    </w:p>
    <w:p w:rsidR="00606E0A" w:rsidRDefault="00606E0A"/>
    <w:sectPr w:rsidR="00606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6"/>
    <w:rsid w:val="000B30C6"/>
    <w:rsid w:val="00606E0A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B201-8C3B-423C-B364-1B44DC60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tb.xian-industrycloud.com/sxdxytb-saas/f/WcwSN8Wu?https://ytb.xian-industrycloud.com/sxdxytb-saas/f/WcwSN8Wu=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422</Words>
  <Characters>2406</Characters>
  <Application>Microsoft Office Word</Application>
  <DocSecurity>0</DocSecurity>
  <Lines>20</Lines>
  <Paragraphs>5</Paragraphs>
  <ScaleCrop>false</ScaleCrop>
  <Company>Windows 中国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2022-03-01T02:15:00Z</dcterms:created>
  <dcterms:modified xsi:type="dcterms:W3CDTF">2022-03-01T02:17:00Z</dcterms:modified>
</cp:coreProperties>
</file>