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73C" w:rsidRPr="005B373C" w:rsidRDefault="005B373C" w:rsidP="005B373C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bookmarkStart w:id="0" w:name="_GoBack"/>
      <w:r w:rsidRPr="005B373C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武汉市普</w:t>
      </w:r>
      <w:proofErr w:type="gramStart"/>
      <w:r w:rsidRPr="005B373C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仁医院</w:t>
      </w:r>
      <w:proofErr w:type="gramEnd"/>
      <w:r w:rsidRPr="005B373C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招聘</w:t>
      </w:r>
    </w:p>
    <w:bookmarkEnd w:id="0"/>
    <w:p w:rsidR="005B373C" w:rsidRPr="005B373C" w:rsidRDefault="005B373C" w:rsidP="005B373C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C1C1C1"/>
          <w:kern w:val="0"/>
          <w:szCs w:val="21"/>
        </w:rPr>
        <w:t>2020-11-26 11:20:36 来源： 点击数: 315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武汉市普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仁医院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创建于1955年，经过六十余年的发展，现已成为一所学科门类齐全，英才名医荟萃，诊疗设备先进，医疗技术精湛，管理方法科学，科研成果丰硕，设施环境温馨，医疗特色突出，集医疗、预防、科研、教学、康复、保健于一体的大型现代化三级甲等综合性医院。因业务发展需要，现面向国内外招聘医疗及相关专业人才，具体要求如下：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  <w:r w:rsidRPr="005B37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一、招聘计划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0"/>
        <w:gridCol w:w="3314"/>
        <w:gridCol w:w="770"/>
        <w:gridCol w:w="946"/>
        <w:gridCol w:w="2080"/>
      </w:tblGrid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任  职  条  件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要求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神经内科、呼吸与危重症医学科、消化内科、心内科、肾内科、内分泌科、风湿血液科医师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有工作经验优先，可考虑优秀应届生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神经外科、肝胆</w:t>
            </w:r>
            <w:proofErr w:type="gramStart"/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胰</w:t>
            </w:r>
            <w:proofErr w:type="gramEnd"/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外科、胃肠外科、泌尿外科、心胸外科、甲乳外科医师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有工作经验优先，可考虑优秀应届生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骨科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创伤骨科、骨关节外科、脊柱外科、手足显微外科医师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有工作经验优先，可考虑优秀应届生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妇产生殖中心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有工作经验优先，可考虑优秀应届生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干细胞实验室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生物学、遗传学等相关专业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肿瘤科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有工作经验优先，可考虑优秀应届生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感染科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限神经内科、骨科或康复医学等临床专业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疼痛科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限麻醉学专业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口腔科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有工作经验优先，要求有证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眼科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中级以上职称，有ICU经历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麻醉科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放射科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诊断医师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有工作经验优先，可考虑优秀应届生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B373C" w:rsidRPr="005B373C" w:rsidRDefault="005B373C" w:rsidP="005B37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医学影像（彩超）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有工作经验优先，要求有证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心功能室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检验科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技师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临床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优秀应届生可以考虑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要求有证，特别优秀者条件可放宽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规</w:t>
            </w:r>
            <w:proofErr w:type="gramEnd"/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应届生可以报考</w:t>
            </w:r>
          </w:p>
        </w:tc>
      </w:tr>
      <w:tr w:rsidR="005B373C" w:rsidRPr="005B373C" w:rsidTr="005B373C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软件工程师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5B373C" w:rsidRPr="005B373C" w:rsidRDefault="005B373C" w:rsidP="005B373C">
            <w:pPr>
              <w:widowControl/>
              <w:spacing w:after="150" w:line="33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B373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有工作经验优先</w:t>
            </w:r>
          </w:p>
        </w:tc>
      </w:tr>
    </w:tbl>
    <w:p w:rsidR="005B373C" w:rsidRPr="005B373C" w:rsidRDefault="005B373C" w:rsidP="005B373C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二、报名程序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       请有意应聘者将简历投至丁香人才或武汉市普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仁医院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人力资源部邮箱（邮件主题请注明：专业、年龄、性别、毕业院校及联系方式、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除登记照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外、请尽量少图），我院对应聘材料进行初筛后，将进行面试、笔试、相关考核等程序。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</w:r>
      <w:r w:rsidRPr="005B37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 三、福利待遇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1、医学高层次人才常年招聘，优秀人才可以执行年薪制；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2、符合条件的学科带头人、骨干人才按照医院高层次人才引进政策给予不低于 </w:t>
      </w:r>
      <w:r w:rsidRPr="005B37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10 万安家费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，并提供一定额度的科研启动基金；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lastRenderedPageBreak/>
        <w:t>3、适时提供国内外学术交流机会；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4、符合职称晋升条件的优先聘用；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5、全额缴纳五险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金；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6、享受带薪年休、健康体检、职工补充医疗等待遇；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7、医院提供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廉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租房；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8、协助解决子女入学和配偶工作；</w:t>
      </w:r>
    </w:p>
    <w:p w:rsidR="005B373C" w:rsidRPr="005B373C" w:rsidRDefault="005B373C" w:rsidP="005B373C">
      <w:pPr>
        <w:widowControl/>
        <w:shd w:val="clear" w:color="auto" w:fill="FFFFFF"/>
        <w:spacing w:before="75" w:after="75" w:line="336" w:lineRule="atLeast"/>
        <w:ind w:firstLine="645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9、其它个性化需求一事一议。</w:t>
      </w:r>
    </w:p>
    <w:p w:rsidR="005B373C" w:rsidRPr="005B373C" w:rsidRDefault="005B373C" w:rsidP="005B373C">
      <w:pPr>
        <w:widowControl/>
        <w:shd w:val="clear" w:color="auto" w:fill="FFFFFF"/>
        <w:spacing w:after="150" w:line="336" w:lineRule="atLeast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5B373C">
        <w:rPr>
          <w:rFonts w:ascii="微软雅黑" w:eastAsia="微软雅黑" w:hAnsi="微软雅黑" w:cs="宋体" w:hint="eastAsia"/>
          <w:b/>
          <w:bCs/>
          <w:color w:val="34495E"/>
          <w:kern w:val="0"/>
          <w:sz w:val="24"/>
          <w:szCs w:val="24"/>
        </w:rPr>
        <w:t>四、联系方式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通讯地址：湖北省武汉市青山区本溪街1号武汉市普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仁医院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7号楼4楼人力资源部，邮政编码：430081。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医院网站：http://www.purenyy.com/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1、非护理人员咨询电话：027-86360010；联系人：姜老师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投递邮箱：pryyhr@163.com。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2、护理人员咨询电话：027-86360016；联系人：石老师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投递邮箱：hulibu111@126.com</w:t>
      </w:r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br/>
        <w:t>       3、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规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培</w:t>
      </w:r>
      <w:proofErr w:type="gramStart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生咨询</w:t>
      </w:r>
      <w:proofErr w:type="gramEnd"/>
      <w:r w:rsidRPr="005B373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电话：027-86360159；联系人：程老师</w:t>
      </w:r>
    </w:p>
    <w:p w:rsidR="00DE6CC9" w:rsidRPr="005B373C" w:rsidRDefault="00DE6CC9">
      <w:pPr>
        <w:rPr>
          <w:b/>
        </w:rPr>
      </w:pPr>
    </w:p>
    <w:sectPr w:rsidR="00DE6CC9" w:rsidRPr="005B3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3C"/>
    <w:rsid w:val="005B373C"/>
    <w:rsid w:val="00DE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9B24-5643-459D-A42E-E69C41A2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37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B37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</Words>
  <Characters>1500</Characters>
  <Application>Microsoft Office Word</Application>
  <DocSecurity>0</DocSecurity>
  <Lines>12</Lines>
  <Paragraphs>3</Paragraphs>
  <ScaleCrop>false</ScaleCrop>
  <Company>Windows 中国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2020-12-02T02:38:00Z</dcterms:created>
  <dcterms:modified xsi:type="dcterms:W3CDTF">2020-12-02T02:39:00Z</dcterms:modified>
</cp:coreProperties>
</file>