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22" w:rsidRPr="00AF2422" w:rsidRDefault="00AF2422" w:rsidP="00AF2422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AF2422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郑州大学第五附属医院2022年招聘公告</w:t>
      </w:r>
    </w:p>
    <w:p w:rsidR="00AF2422" w:rsidRPr="00AF2422" w:rsidRDefault="00AF2422" w:rsidP="00AF2422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color w:val="C1C1C1"/>
          <w:kern w:val="0"/>
          <w:szCs w:val="21"/>
        </w:rPr>
        <w:t>2022-03-28 14:20:04 来源： 点击数: 177</w:t>
      </w:r>
    </w:p>
    <w:p w:rsidR="00AF2422" w:rsidRPr="00AF2422" w:rsidRDefault="00AF2422" w:rsidP="00AF242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【宣讲行程】</w:t>
      </w:r>
    </w:p>
    <w:p w:rsidR="00AF2422" w:rsidRPr="00AF2422" w:rsidRDefault="00AF2422" w:rsidP="00AF242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时间：2022年3月30日 18:30线上云宣讲</w:t>
      </w:r>
    </w:p>
    <w:p w:rsidR="00AF2422" w:rsidRPr="00AF2422" w:rsidRDefault="00AF2422" w:rsidP="00AF242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参与方式：</w:t>
      </w:r>
    </w:p>
    <w:p w:rsidR="00AF2422" w:rsidRPr="00AF2422" w:rsidRDefault="00AF2422" w:rsidP="00AF242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1、下载【腾讯会议】软件</w:t>
      </w:r>
    </w:p>
    <w:p w:rsidR="00AF2422" w:rsidRPr="00AF2422" w:rsidRDefault="00AF2422" w:rsidP="00AF242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2、输入会议ID</w:t>
      </w:r>
      <w:proofErr w:type="gramStart"/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或者扫码报名</w:t>
      </w:r>
      <w:proofErr w:type="gramEnd"/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参与</w:t>
      </w:r>
    </w:p>
    <w:p w:rsidR="00AF2422" w:rsidRPr="00AF2422" w:rsidRDefault="00AF2422" w:rsidP="00AF242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会议ID：483 116 496</w:t>
      </w:r>
    </w:p>
    <w:p w:rsidR="00AF2422" w:rsidRPr="00AF2422" w:rsidRDefault="00AF2422" w:rsidP="00AF242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会议链接：</w:t>
      </w:r>
      <w:r w:rsidRPr="00AF2422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https://meeting.tencent.com/dw/2ilqOTLohhs1</w:t>
      </w:r>
    </w:p>
    <w:p w:rsidR="00AF2422" w:rsidRPr="00AF2422" w:rsidRDefault="00AF2422" w:rsidP="00AF242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或扫描下方</w:t>
      </w:r>
      <w:proofErr w:type="gramStart"/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二维码进入</w:t>
      </w:r>
      <w:proofErr w:type="gramEnd"/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：</w:t>
      </w:r>
    </w:p>
    <w:p w:rsidR="00AF2422" w:rsidRPr="00AF2422" w:rsidRDefault="00AF2422" w:rsidP="00AF2422">
      <w:pPr>
        <w:widowControl/>
        <w:shd w:val="clear" w:color="auto" w:fill="FFFFFF"/>
        <w:spacing w:after="150" w:line="336" w:lineRule="atLeast"/>
        <w:jc w:val="center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/>
          <w:noProof/>
          <w:color w:val="34495E"/>
          <w:kern w:val="0"/>
          <w:szCs w:val="21"/>
        </w:rPr>
        <w:drawing>
          <wp:inline distT="0" distB="0" distL="0" distR="0">
            <wp:extent cx="1905000" cy="1905000"/>
            <wp:effectExtent l="0" t="0" r="0" b="0"/>
            <wp:docPr id="2" name="图片 2" descr="F5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5D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22" w:rsidRPr="00AF2422" w:rsidRDefault="00AF2422" w:rsidP="00AF242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一、医院简介</w:t>
      </w:r>
    </w:p>
    <w:p w:rsidR="00AF2422" w:rsidRPr="00AF2422" w:rsidRDefault="00AF2422" w:rsidP="00AF2422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郑州大学第五附属医院是一所历史悠久的省级综合医院，其前身为郑州铁路局中心医院，始建于1915年，2005年9月归属于郑州大学。医院位于郑州市中心，紧邻郑州火车站西广场，交通便利，地理位置优越，占地面积92.17亩，实际开放床位2000张。</w:t>
      </w:r>
    </w:p>
    <w:p w:rsidR="00AF2422" w:rsidRPr="00AF2422" w:rsidRDefault="00AF2422" w:rsidP="00AF2422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lastRenderedPageBreak/>
        <w:t>医院设有59个临床医技科室，学科齐全，综合实力雄厚。拥有11个重点学科，其中，8个河南省医学重点学科，3个原铁道部重点学科，康复医学、神经病学、消化内科、神经外科、血管外科、医学整形美容科、呼吸内科是河南省医学重点学科, 肿瘤内科是河南省医学重点培育学科；骨科、泌尿外科、心血管内科是原铁道部重点学科。优势明显的学科诊疗体系使医院在康复治疗、消化系统疾病治疗、神经系统疾病治疗、心血管疾病治疗、肿瘤治疗和体检预防保健等方面具有鲜明的特色。</w:t>
      </w:r>
    </w:p>
    <w:p w:rsidR="00AF2422" w:rsidRPr="00AF2422" w:rsidRDefault="00AF2422" w:rsidP="00AF2422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医院是郑州大学第五临床学院，也是郑州大学临床医学博士后流动站，拥有6个博士学位点、7个硕士学位点。先后设立了一个示范基地：河南省康复医疗服务示范基地；一个省级重点实验室：河南省幽门螺杆菌及微生态与消化道肿瘤重点实验室；两个临床中心：郑州大学临床医学康复中心、郑州大学临床医学整形美容中心；四个医学重点实验室：河南省神经变性疾病实验室、河南省医学微生态与临床营养医学重点实验室、河南省</w:t>
      </w:r>
      <w:proofErr w:type="gramStart"/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颅</w:t>
      </w:r>
      <w:proofErr w:type="gramEnd"/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神经疾病医学研究重点实验室、河南省康复医学重点实验室；五个研究所：郑州大学康复医学研究所、医学微生态学及临床营养研究所、脑血管病研究所、血管外科研究所、整形美容研究所；十一个中心：河南省康复医学中心、河南省康复医学质量控制中心、河南省</w:t>
      </w:r>
      <w:proofErr w:type="gramStart"/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医</w:t>
      </w:r>
      <w:proofErr w:type="gramEnd"/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养结合质量控制中心、河南省癫痫病系统化诊疗中心、河南省伽玛刀治疗中心、河南省康复医学工程研究中心、河南省颅脑损伤防治工程研究中心、河南省儿童自闭症康复中心、河南省儿童早期发展与评估工程研究中心、上海交通大学</w:t>
      </w:r>
      <w:proofErr w:type="gramStart"/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颅</w:t>
      </w:r>
      <w:proofErr w:type="gramEnd"/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神经疾病诊治中心河南分中心、中国医师协会内镜脑室脑池外科技术医师培训中心。</w:t>
      </w:r>
    </w:p>
    <w:p w:rsidR="00AF2422" w:rsidRPr="00AF2422" w:rsidRDefault="00AF2422" w:rsidP="00AF2422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lastRenderedPageBreak/>
        <w:t>2015年11月，医院康复医学部被河南省卫计委批复为“郑州大学康复医院”；2016年3月，医院申报的“康复治疗学”专业通过国家教育部审批，已圆满完成三届康复治疗学专业招生。2018年6月4日，郑州大学康复医学系依托郑州大学第五附属</w:t>
      </w:r>
      <w:proofErr w:type="gramStart"/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医院获</w:t>
      </w:r>
      <w:proofErr w:type="gramEnd"/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批设立。医院与因发现胃中幽门螺杆菌与慢性胃炎、消化病溃疡及胃癌之间的关系而获得2005年诺贝尔医学奖的巴里•马歇尔（Barry J. Marshall）教授开展紧密合作，建立了“郑州大学马歇尔医学研究中心”、“郑州大学马歇尔医院”。2016年12月6日，医院与巴里•马歇尔（Barry J. Marshall）院士合作建立的河南省幽门螺旋杆菌与医学微</w:t>
      </w:r>
      <w:proofErr w:type="gramStart"/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生态院士</w:t>
      </w:r>
      <w:proofErr w:type="gramEnd"/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工作站获得河南省科技厅批准。2017年10月，康复医学、消化病学、神经</w:t>
      </w:r>
      <w:proofErr w:type="gramStart"/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专科获</w:t>
      </w:r>
      <w:proofErr w:type="gramEnd"/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批《河南省省直医疗机构医疗服务能力提升工程》建设项目；2018年2月26日，医院申报的脑血管病</w:t>
      </w:r>
      <w:proofErr w:type="gramStart"/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学正式获批国家发改</w:t>
      </w:r>
      <w:proofErr w:type="gramEnd"/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委、国家卫计委《国家疑难病症诊治能力提升工程》建设项目（全国113家，河南省6家）。2020年7月,由郑州大学第五附属医院牵头的国家科技部重点研发计划项目“主动健康和老龄化科技应对”—《医养结合服务模式与规范应用示范》获批，总预算7190万（其中,国拨资金1190万）。</w:t>
      </w:r>
    </w:p>
    <w:p w:rsidR="00AF2422" w:rsidRPr="00AF2422" w:rsidRDefault="00AF2422" w:rsidP="00AF242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二、招聘岗位</w:t>
      </w:r>
    </w:p>
    <w:tbl>
      <w:tblPr>
        <w:tblW w:w="8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840"/>
        <w:gridCol w:w="1515"/>
        <w:gridCol w:w="2115"/>
      </w:tblGrid>
      <w:tr w:rsidR="00AF2422" w:rsidRPr="00AF2422" w:rsidTr="00AF2422">
        <w:trPr>
          <w:trHeight w:val="28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消化内科学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神经病学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针灸推拿学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中医骨伤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血管外科学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心胸外科学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胃肠、甲状腺外科学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骨科学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泌尿外科学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呼吸内科学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重症医学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康复治疗学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康复医学与理疗学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整形外科学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皮肤与性病学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妇产科学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76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乳腺外科学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中西医结合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中医内科学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口腔学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眼科学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临床营养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西药学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中药学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医学影像与核医学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超声医学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临床检验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病理学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  <w:tr w:rsidR="00AF2422" w:rsidRPr="00AF2422" w:rsidTr="00AF2422">
        <w:trPr>
          <w:trHeight w:val="28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流行病与卫生统计学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422" w:rsidRPr="00AF2422" w:rsidRDefault="00AF2422" w:rsidP="00AF2422">
            <w:pPr>
              <w:widowControl/>
              <w:spacing w:after="150" w:line="336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F2422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</w:tr>
    </w:tbl>
    <w:p w:rsidR="00AF2422" w:rsidRPr="00AF2422" w:rsidRDefault="00AF2422" w:rsidP="00AF2422">
      <w:pPr>
        <w:widowControl/>
        <w:shd w:val="clear" w:color="auto" w:fill="FFFFFF"/>
        <w:spacing w:before="300" w:after="150"/>
        <w:jc w:val="left"/>
        <w:outlineLvl w:val="1"/>
        <w:rPr>
          <w:rFonts w:ascii="微软雅黑" w:eastAsia="微软雅黑" w:hAnsi="微软雅黑" w:cs="宋体"/>
          <w:color w:val="34495E"/>
          <w:kern w:val="0"/>
          <w:sz w:val="45"/>
          <w:szCs w:val="45"/>
        </w:rPr>
      </w:pPr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三、薪资待遇及相关福利</w:t>
      </w:r>
    </w:p>
    <w:p w:rsidR="00AF2422" w:rsidRPr="00AF2422" w:rsidRDefault="00AF2422" w:rsidP="00AF2422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1、通过医院公开招聘的博士，办理事业单位编制，享受科室副主任级别绩效奖励，晋升职称享受医院绿色通道，医院给予安家费20万，科研经费20万，博士津贴每月2000元（发放三年）等福利待遇。特别优秀者待遇一人一议。</w:t>
      </w:r>
    </w:p>
    <w:p w:rsidR="00AF2422" w:rsidRPr="00AF2422" w:rsidRDefault="00AF2422" w:rsidP="00AF2422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lastRenderedPageBreak/>
        <w:t>2、符合《郑州市青年人才储备计划实施细则（暂行）》规定的毕业生，市政府每月发放生活补贴1500元。</w:t>
      </w:r>
    </w:p>
    <w:p w:rsidR="00AF2422" w:rsidRPr="00AF2422" w:rsidRDefault="00AF2422" w:rsidP="00AF2422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3、符合《郑州市青年人才首次购房补贴发放及非郑户籍人才购房实施办法（暂行）》规定的毕业生，在郑州首次购买住房，市政府可发放购房补贴10万元。</w:t>
      </w:r>
    </w:p>
    <w:p w:rsidR="00AF2422" w:rsidRPr="00AF2422" w:rsidRDefault="00AF2422" w:rsidP="00AF2422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4、 健康体检：每年免费为员工开展年度健康体检；</w:t>
      </w:r>
    </w:p>
    <w:p w:rsidR="00AF2422" w:rsidRPr="00AF2422" w:rsidRDefault="00AF2422" w:rsidP="00AF2422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5、培训福利：医院遵循人才发展战略，注重外部人才引进以及内部人才的培养与晋升，不断完善全面系统的培训体系，使每一位员工综合素质全面提升的同时，能够得到自我价值的实现；</w:t>
      </w:r>
    </w:p>
    <w:p w:rsidR="00AF2422" w:rsidRPr="00AF2422" w:rsidRDefault="00AF2422" w:rsidP="00AF2422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6、 员工关怀：符合条件的员工享受带薪休假，员工丧事、大病等帮困救助；</w:t>
      </w:r>
    </w:p>
    <w:p w:rsidR="00AF2422" w:rsidRPr="00AF2422" w:rsidRDefault="00AF2422" w:rsidP="00AF2422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7、 工作环境优越：医院建有食堂、宿舍等基础设施，工作和生活条件优越；</w:t>
      </w:r>
    </w:p>
    <w:p w:rsidR="00AF2422" w:rsidRPr="00AF2422" w:rsidRDefault="00AF2422" w:rsidP="00AF2422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8、文娱生活丰富：医院以奋斗者为本，与员工共担共享，每年举行技能竞赛、文艺表演、职工运动会等丰富多彩的活动，鼓励员工成长、文化氛围浓厚，业余生活丰富。</w:t>
      </w:r>
    </w:p>
    <w:p w:rsidR="00AF2422" w:rsidRPr="00AF2422" w:rsidRDefault="00AF2422" w:rsidP="00AF242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四、投递方式</w:t>
      </w:r>
    </w:p>
    <w:p w:rsidR="00AF2422" w:rsidRPr="00AF2422" w:rsidRDefault="00AF2422" w:rsidP="00AF2422">
      <w:pPr>
        <w:widowControl/>
        <w:shd w:val="clear" w:color="auto" w:fill="FFFFFF"/>
        <w:spacing w:before="300" w:after="150"/>
        <w:ind w:firstLine="480"/>
        <w:jc w:val="left"/>
        <w:outlineLvl w:val="1"/>
        <w:rPr>
          <w:rFonts w:ascii="微软雅黑" w:eastAsia="微软雅黑" w:hAnsi="微软雅黑" w:cs="宋体" w:hint="eastAsia"/>
          <w:color w:val="34495E"/>
          <w:kern w:val="0"/>
          <w:sz w:val="45"/>
          <w:szCs w:val="45"/>
        </w:rPr>
      </w:pPr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扫描下方二</w:t>
      </w:r>
      <w:proofErr w:type="gramStart"/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维码进入</w:t>
      </w:r>
      <w:proofErr w:type="gramEnd"/>
      <w:r w:rsidRPr="00AF2422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丁香园“郑州大学第五附属医院”招聘专题进行投递。</w:t>
      </w:r>
    </w:p>
    <w:p w:rsidR="00AF2422" w:rsidRPr="00AF2422" w:rsidRDefault="00AF2422" w:rsidP="00AF2422">
      <w:pPr>
        <w:widowControl/>
        <w:shd w:val="clear" w:color="auto" w:fill="FFFFFF"/>
        <w:spacing w:after="150" w:line="336" w:lineRule="atLeast"/>
        <w:jc w:val="center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AF2422">
        <w:rPr>
          <w:rFonts w:ascii="微软雅黑" w:eastAsia="微软雅黑" w:hAnsi="微软雅黑" w:cs="宋体"/>
          <w:noProof/>
          <w:color w:val="34495E"/>
          <w:kern w:val="0"/>
          <w:szCs w:val="21"/>
        </w:rPr>
        <w:lastRenderedPageBreak/>
        <w:drawing>
          <wp:inline distT="0" distB="0" distL="0" distR="0">
            <wp:extent cx="1905000" cy="1905000"/>
            <wp:effectExtent l="0" t="0" r="0" b="0"/>
            <wp:docPr id="1" name="图片 1" descr="6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7F" w:rsidRDefault="0050297F">
      <w:bookmarkStart w:id="0" w:name="_GoBack"/>
      <w:bookmarkEnd w:id="0"/>
    </w:p>
    <w:sectPr w:rsidR="00502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79"/>
    <w:rsid w:val="00231C79"/>
    <w:rsid w:val="0050297F"/>
    <w:rsid w:val="00A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426F8-78AC-4B5C-80E4-EDFAC922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F242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F2422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F2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F2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385</Words>
  <Characters>2196</Characters>
  <Application>Microsoft Office Word</Application>
  <DocSecurity>0</DocSecurity>
  <Lines>18</Lines>
  <Paragraphs>5</Paragraphs>
  <ScaleCrop>false</ScaleCrop>
  <Company>Windows 中国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2022-04-06T02:24:00Z</dcterms:created>
  <dcterms:modified xsi:type="dcterms:W3CDTF">2022-04-06T02:24:00Z</dcterms:modified>
</cp:coreProperties>
</file>