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十堰市太和医院是国家公立综合性三级甲等医院、国家药物临床试验机构、国家住院医师培训基地、国家全科医师培养基地、国家康复护士临床建设基地、中华医学会临床药师培训基地、国家干细胞临床研究备案机构、人社部博士后工作站、湖北省博士后创新实践基地、中西部市州级区域医疗中心、秦巴山医疗卫生中心核心医院；是湖北医药学院附属医院，是武汉大学、湖北中医药大学、西安交通大学博士研究生培养基地，医院连续六届蝉联全国文明单位，并荣获全国五一劳动奖状先进集体、全国卫生计生工作先进集体、湖北省政府长江质量奖。</w:t>
      </w:r>
    </w:p>
    <w:p w:rsidR="00907C21" w:rsidRPr="00907C21" w:rsidRDefault="00907C21" w:rsidP="00907C21">
      <w:pPr>
        <w:widowControl/>
        <w:shd w:val="clear" w:color="auto" w:fill="FFFFFF"/>
        <w:wordWrap w:val="0"/>
        <w:ind w:firstLine="51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目前拥有一个总院、三个院区（东院区、武当山院区、西苑院区），总编制床位数达4854张，</w:t>
      </w:r>
      <w:r w:rsidRPr="00907C21">
        <w:rPr>
          <w:rFonts w:ascii="微软雅黑" w:eastAsia="微软雅黑" w:hAnsi="微软雅黑" w:cs="宋体" w:hint="eastAsia"/>
          <w:color w:val="747474"/>
          <w:kern w:val="0"/>
          <w:sz w:val="24"/>
          <w:szCs w:val="24"/>
          <w:shd w:val="clear" w:color="auto" w:fill="FFFFFF"/>
        </w:rPr>
        <w:t>在岗人员共5000余人。</w:t>
      </w:r>
      <w:r w:rsidRPr="00907C21">
        <w:rPr>
          <w:rFonts w:ascii="微软雅黑" w:eastAsia="微软雅黑" w:hAnsi="微软雅黑" w:cs="宋体" w:hint="eastAsia"/>
          <w:color w:val="333333"/>
          <w:kern w:val="0"/>
          <w:sz w:val="24"/>
          <w:szCs w:val="24"/>
          <w:shd w:val="clear" w:color="auto" w:fill="FFFFFF"/>
        </w:rPr>
        <w:t>中医康复学为国家级重点学科，针灸科为国家级重点专科，神经外科为国家级重点建设专科，内科学、外科学、麻醉学等临床医学学科为省重点学科，有41个省级重点专科，医疗辐射鄂豫陕渝毗邻地区3000万人。</w:t>
      </w:r>
      <w:r w:rsidRPr="00907C21">
        <w:rPr>
          <w:rFonts w:ascii="微软雅黑" w:eastAsia="微软雅黑" w:hAnsi="微软雅黑" w:cs="宋体" w:hint="eastAsia"/>
          <w:color w:val="747474"/>
          <w:kern w:val="0"/>
          <w:sz w:val="24"/>
          <w:szCs w:val="24"/>
          <w:shd w:val="clear" w:color="auto" w:fill="FFFFFF"/>
        </w:rPr>
        <w:t>医院拥有高级职称专业技术人员900余人，</w:t>
      </w:r>
      <w:r w:rsidRPr="00907C21">
        <w:rPr>
          <w:rFonts w:ascii="微软雅黑" w:eastAsia="微软雅黑" w:hAnsi="微软雅黑" w:cs="宋体" w:hint="eastAsia"/>
          <w:color w:val="333333"/>
          <w:kern w:val="0"/>
          <w:sz w:val="24"/>
          <w:szCs w:val="24"/>
          <w:shd w:val="clear" w:color="auto" w:fill="FFFFFF"/>
        </w:rPr>
        <w:t>建设2个院士工作站、10余个研究室和7个公共科研平台，1个省级重点实验室，2个省级临床医学研究中心，1个博士后科研工作站及1个博士后创新实践基地。有259项科研成果通过鉴定，205项科研成果获得国家和省、市科技进步奖。承担38项国家自然科学基金课题、1项中央引导地方科技发展资金项目和7项科技部规划专项子课题。</w:t>
      </w:r>
    </w:p>
    <w:p w:rsidR="00907C21" w:rsidRPr="00907C21" w:rsidRDefault="00907C21" w:rsidP="00907C21">
      <w:pPr>
        <w:widowControl/>
        <w:shd w:val="clear" w:color="auto" w:fill="FFFFFF"/>
        <w:wordWrap w:val="0"/>
        <w:ind w:firstLine="51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医院积极推进公立医院改革，在本地区因地制宜、大胆创新，医院以“和”文化为核心，建立了太和文化体系。医院始终坚持“一主引领、两轮驱动、三区协同、多点联动”的发展战略，努力把太和建设成为“智慧、人文、安全、卓越”于一体的现代化医院。</w:t>
      </w:r>
    </w:p>
    <w:p w:rsidR="00907C21" w:rsidRPr="00907C21" w:rsidRDefault="00907C21" w:rsidP="00907C21">
      <w:pPr>
        <w:widowControl/>
        <w:shd w:val="clear" w:color="auto" w:fill="FFFFFF"/>
        <w:wordWrap w:val="0"/>
        <w:ind w:firstLine="51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喜迎八方人才，共祝美好未来！蓬勃发展的太和医院，热切期待各位人才的加盟！</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二、引进计划</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（一）2023年应届毕业生招录计划</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60"/>
        <w:gridCol w:w="945"/>
        <w:gridCol w:w="945"/>
        <w:gridCol w:w="9274"/>
        <w:gridCol w:w="945"/>
        <w:gridCol w:w="4195"/>
      </w:tblGrid>
      <w:tr w:rsidR="00907C21" w:rsidRPr="00907C21" w:rsidTr="00907C21">
        <w:trPr>
          <w:trHeight w:val="495"/>
          <w:tblCellSpacing w:w="0" w:type="dxa"/>
        </w:trPr>
        <w:tc>
          <w:tcPr>
            <w:tcW w:w="1500" w:type="dxa"/>
            <w:gridSpan w:val="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color w:val="747474"/>
                <w:kern w:val="0"/>
                <w:sz w:val="27"/>
                <w:szCs w:val="27"/>
              </w:rPr>
            </w:pPr>
            <w:r w:rsidRPr="00907C21">
              <w:rPr>
                <w:rFonts w:ascii="微软雅黑" w:eastAsia="微软雅黑" w:hAnsi="微软雅黑" w:cs="宋体" w:hint="eastAsia"/>
                <w:b/>
                <w:bCs/>
                <w:color w:val="747474"/>
                <w:kern w:val="0"/>
                <w:sz w:val="24"/>
                <w:szCs w:val="24"/>
              </w:rPr>
              <w:lastRenderedPageBreak/>
              <w:t>一、医师岗（急需紧缺专业硕士计划61人，优秀博士及以上层次不受名额和专业限制）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bookmarkStart w:id="0" w:name="_Hlk120095666"/>
            <w:bookmarkEnd w:id="0"/>
            <w:r w:rsidRPr="00907C21">
              <w:rPr>
                <w:rFonts w:ascii="微软雅黑" w:eastAsia="微软雅黑" w:hAnsi="微软雅黑" w:cs="宋体" w:hint="eastAsia"/>
                <w:b/>
                <w:bCs/>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科室</w:t>
            </w:r>
          </w:p>
        </w:tc>
        <w:tc>
          <w:tcPr>
            <w:tcW w:w="5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岗位</w:t>
            </w:r>
          </w:p>
        </w:tc>
        <w:tc>
          <w:tcPr>
            <w:tcW w:w="7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专业方向</w:t>
            </w:r>
          </w:p>
        </w:tc>
        <w:tc>
          <w:tcPr>
            <w:tcW w:w="8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学历学位</w:t>
            </w:r>
          </w:p>
        </w:tc>
        <w:tc>
          <w:tcPr>
            <w:tcW w:w="3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心血管疾病诊疗中心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9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心血管内科学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呼吸与危重症医学科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11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呼吸病学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7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消化内科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13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消化内科或消化内镜</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9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390"/>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血液内科</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156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血液内科学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11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2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神经内科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17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癫痫、帕金森、认知障碍、神经功能、脑血管等方向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13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6</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6</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综合医疗科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19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内科、老年医学或全科医学方向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15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50"/>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7</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肿瘤科</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214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肿瘤学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17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w:t>
            </w:r>
          </w:p>
        </w:tc>
      </w:tr>
      <w:tr w:rsidR="00907C21" w:rsidRPr="00907C21" w:rsidTr="00907C21">
        <w:trPr>
          <w:trHeight w:val="40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570"/>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8</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心理卫生中心</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234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精神卫生相关专业</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19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55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9</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胃肠外科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25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胃肠外科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21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10</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乳腺甲状腺血管外科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27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乳腺、甲状腺等方向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22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肛肠外科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29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普外科肛肠方向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24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35"/>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12</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小儿外科</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312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小儿外科方向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26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2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骨科Ⅰ病区</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33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28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14</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骨科Ⅱ病区</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35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30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3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15</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脊柱外科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37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脊柱外科方向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32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20"/>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16</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骨科Ⅳ病区</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39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骨科学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34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43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17</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神经创伤、功能神经及小儿神经外科疾病</w:t>
            </w:r>
            <w:r w:rsidRPr="00907C21">
              <w:rPr>
                <w:rFonts w:ascii="微软雅黑" w:eastAsia="微软雅黑" w:hAnsi="微软雅黑" w:cs="宋体" w:hint="eastAsia"/>
                <w:color w:val="747474"/>
                <w:kern w:val="0"/>
                <w:sz w:val="24"/>
                <w:szCs w:val="24"/>
              </w:rPr>
              <w:lastRenderedPageBreak/>
              <w:t>诊疗中心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医师岗</w:t>
            </w:r>
          </w:p>
        </w:tc>
        <w:tc>
          <w:tcPr>
            <w:tcW w:w="40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神经外科学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36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18</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胸心大血管外科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42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胸心大血管外科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38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19</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泌尿外科、男科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44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泌尿外科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40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20</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疼痛科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46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麻醉、疼痛</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42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21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麻醉科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48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麻醉学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44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22</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皮肤科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50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皮肤性病学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46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眼科中心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52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眼科学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48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24</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耳鼻咽喉头颈外科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54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耳鼻咽喉头颈外科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0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25</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口腔医学中心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56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正畸、修复种植、牙体牙髓、儿童口腔</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2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6</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26</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儿童康复中心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58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儿科学、儿童神经康复、心理</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3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27</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心肺康复中心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60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心血管、呼吸、神经方向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4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28</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中西医结合科（风湿</w:t>
            </w:r>
            <w:r w:rsidRPr="00907C21">
              <w:rPr>
                <w:rFonts w:ascii="微软雅黑" w:eastAsia="微软雅黑" w:hAnsi="微软雅黑" w:cs="宋体" w:hint="eastAsia"/>
                <w:color w:val="747474"/>
                <w:kern w:val="0"/>
                <w:sz w:val="24"/>
                <w:szCs w:val="24"/>
              </w:rPr>
              <w:lastRenderedPageBreak/>
              <w:t>骨质疏松专业）</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医师岗</w:t>
            </w:r>
          </w:p>
        </w:tc>
        <w:tc>
          <w:tcPr>
            <w:tcW w:w="62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中西医结合</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5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29</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睡眠心身医学中心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64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睡眠相关</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5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30</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妇科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66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妇产科学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55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生殖医学中心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68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生殖医学方向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32</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儿科Ⅱ病区</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儿童心血管、新生儿、儿科超声医学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儿科Ⅲ病区</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2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34</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儿科门诊、PICU</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4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35</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急诊医学科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6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急诊、重症、内科学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540"/>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36</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医学影像中心</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8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影像医学与核医学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55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705"/>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37</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超声医学科</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799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超声医学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w:t>
            </w:r>
          </w:p>
        </w:tc>
      </w:tr>
      <w:tr w:rsidR="00907C21" w:rsidRPr="00907C21" w:rsidTr="00907C21">
        <w:trPr>
          <w:trHeight w:val="900"/>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2023年超声专业规培结</w:t>
            </w:r>
            <w:r w:rsidRPr="00907C21">
              <w:rPr>
                <w:rFonts w:ascii="微软雅黑" w:eastAsia="微软雅黑" w:hAnsi="微软雅黑" w:cs="宋体" w:hint="eastAsia"/>
                <w:color w:val="747474"/>
                <w:kern w:val="0"/>
                <w:sz w:val="24"/>
                <w:szCs w:val="24"/>
              </w:rPr>
              <w:lastRenderedPageBreak/>
              <w:t>业，本科及以上</w:t>
            </w:r>
          </w:p>
        </w:tc>
        <w:tc>
          <w:tcPr>
            <w:tcW w:w="1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38</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核医学科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81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影像医学与核医学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39</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输血医学科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83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临床检验诊断学、临床输血学、临床医学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40</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营养科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85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医学营养学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41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防保感控处</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医师岗</w:t>
            </w:r>
          </w:p>
        </w:tc>
        <w:tc>
          <w:tcPr>
            <w:tcW w:w="87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公共卫生、临床医学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615"/>
          <w:tblCellSpacing w:w="0" w:type="dxa"/>
        </w:trPr>
        <w:tc>
          <w:tcPr>
            <w:tcW w:w="150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二、药师岗（急需紧缺专业硕士计划4人，优秀博士及以上层次不受名额限制）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bookmarkStart w:id="1" w:name="_Hlk120095762"/>
            <w:bookmarkEnd w:id="1"/>
            <w:r w:rsidRPr="00907C21">
              <w:rPr>
                <w:rFonts w:ascii="微软雅黑" w:eastAsia="微软雅黑" w:hAnsi="微软雅黑" w:cs="宋体" w:hint="eastAsia"/>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科室</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岗位</w:t>
            </w:r>
          </w:p>
        </w:tc>
        <w:tc>
          <w:tcPr>
            <w:tcW w:w="89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专业方向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学历学位</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42</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药学部</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药师岗</w:t>
            </w:r>
          </w:p>
        </w:tc>
        <w:tc>
          <w:tcPr>
            <w:tcW w:w="91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药学相关</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w:t>
            </w:r>
          </w:p>
        </w:tc>
      </w:tr>
      <w:tr w:rsidR="00907C21" w:rsidRPr="00907C21" w:rsidTr="00907C21">
        <w:trPr>
          <w:trHeight w:val="645"/>
          <w:tblCellSpacing w:w="0" w:type="dxa"/>
        </w:trPr>
        <w:tc>
          <w:tcPr>
            <w:tcW w:w="150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三、护理岗（急需紧缺专业本科及以上计划45人，优秀博士及以上层次不受名额限制）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bookmarkStart w:id="2" w:name="_Hlk120095841"/>
            <w:bookmarkEnd w:id="2"/>
            <w:r w:rsidRPr="00907C21">
              <w:rPr>
                <w:rFonts w:ascii="微软雅黑" w:eastAsia="微软雅黑" w:hAnsi="微软雅黑" w:cs="宋体" w:hint="eastAsia"/>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科室</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岗位</w:t>
            </w:r>
          </w:p>
        </w:tc>
        <w:tc>
          <w:tcPr>
            <w:tcW w:w="936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专业方向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学历学位</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43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护理</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护理岗</w:t>
            </w:r>
          </w:p>
        </w:tc>
        <w:tc>
          <w:tcPr>
            <w:tcW w:w="9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护理学</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45</w:t>
            </w:r>
          </w:p>
        </w:tc>
      </w:tr>
      <w:tr w:rsidR="00907C21" w:rsidRPr="00907C21" w:rsidTr="00907C21">
        <w:trPr>
          <w:trHeight w:val="900"/>
          <w:tblCellSpacing w:w="0" w:type="dxa"/>
        </w:trPr>
        <w:tc>
          <w:tcPr>
            <w:tcW w:w="150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四、技师岗（急需紧缺专业本科及以上计划11人，优秀博士及以上层次不受名额和专业限制）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科室</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岗位</w:t>
            </w:r>
          </w:p>
        </w:tc>
        <w:tc>
          <w:tcPr>
            <w:tcW w:w="9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专业方向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学历学位</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44</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血液内科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99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血液内科相关</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555"/>
          <w:tblCellSpacing w:w="0" w:type="dxa"/>
        </w:trPr>
        <w:tc>
          <w:tcPr>
            <w:tcW w:w="135"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45</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肿瘤科</w:t>
            </w:r>
          </w:p>
        </w:tc>
        <w:tc>
          <w:tcPr>
            <w:tcW w:w="30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01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放疗技术</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555"/>
          <w:tblCellSpacing w:w="0" w:type="dxa"/>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0" w:type="auto"/>
            <w:vMerge/>
            <w:tcBorders>
              <w:top w:val="nil"/>
              <w:left w:val="nil"/>
              <w:bottom w:val="single" w:sz="6" w:space="0" w:color="auto"/>
              <w:right w:val="single" w:sz="6" w:space="0" w:color="auto"/>
            </w:tcBorders>
            <w:shd w:val="clear" w:color="auto" w:fill="FFFFFF"/>
            <w:vAlign w:val="center"/>
            <w:hideMark/>
          </w:tcPr>
          <w:p w:rsidR="00907C21" w:rsidRPr="00907C21" w:rsidRDefault="00907C21" w:rsidP="00907C21">
            <w:pPr>
              <w:widowControl/>
              <w:jc w:val="left"/>
              <w:rPr>
                <w:rFonts w:ascii="微软雅黑" w:eastAsia="微软雅黑" w:hAnsi="微软雅黑" w:cs="宋体"/>
                <w:color w:val="747474"/>
                <w:kern w:val="0"/>
                <w:sz w:val="27"/>
                <w:szCs w:val="27"/>
              </w:rPr>
            </w:pPr>
          </w:p>
        </w:tc>
        <w:tc>
          <w:tcPr>
            <w:tcW w:w="4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放疗物理方向</w:t>
            </w:r>
          </w:p>
        </w:tc>
        <w:tc>
          <w:tcPr>
            <w:tcW w:w="2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3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46</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耳鼻咽喉头颈外科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033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临床医学，国家住院医师规范化培训结业</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47</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睡眠心身医学中心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053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临床医学，国家住院医师规范化培训结业</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48</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儿童康复中心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072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儿童康复PT方向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49</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康复治疗部</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09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康复治疗技术专业、中医相关专业</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50</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医学影像中心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111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医学影像相关</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51</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检验部</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13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微生物检验</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lastRenderedPageBreak/>
              <w:t>52</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病理科</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技师岗</w:t>
            </w:r>
          </w:p>
        </w:tc>
        <w:tc>
          <w:tcPr>
            <w:tcW w:w="1150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分子生物、遗传、细胞生物等</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50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五、科研岗（急需紧缺专业硕士以上计划3人，优秀博士及以上层次不受名额和专业限制）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科室</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岗位</w:t>
            </w:r>
          </w:p>
        </w:tc>
        <w:tc>
          <w:tcPr>
            <w:tcW w:w="11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专业方向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学历学位</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53</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生命科学研究所</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科研岗</w:t>
            </w:r>
          </w:p>
        </w:tc>
        <w:tc>
          <w:tcPr>
            <w:tcW w:w="1189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再生医学、干细胞与免疫相关方向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博士</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54</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精准医学中心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科研岗</w:t>
            </w:r>
          </w:p>
        </w:tc>
        <w:tc>
          <w:tcPr>
            <w:tcW w:w="1209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人工智能算法研究（数学、计算机、电子信息）、大数据分析（数学、计算</w:t>
            </w:r>
          </w:p>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机、电子信息）</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2</w:t>
            </w:r>
          </w:p>
        </w:tc>
      </w:tr>
      <w:tr w:rsidR="00907C21" w:rsidRPr="00907C21" w:rsidTr="00907C21">
        <w:trPr>
          <w:trHeight w:val="900"/>
          <w:tblCellSpacing w:w="0" w:type="dxa"/>
        </w:trPr>
        <w:tc>
          <w:tcPr>
            <w:tcW w:w="1500" w:type="dxa"/>
            <w:gridSpan w:val="6"/>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left"/>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lastRenderedPageBreak/>
              <w:t>六、行政管理与服务岗（急需紧缺专业本科以上计划7人，优秀博士及以上层次不受名额和专业限制）</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岗位编号</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科室</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岗位</w:t>
            </w:r>
          </w:p>
        </w:tc>
        <w:tc>
          <w:tcPr>
            <w:tcW w:w="1228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专业方向</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学历学位</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b/>
                <w:bCs/>
                <w:color w:val="747474"/>
                <w:kern w:val="0"/>
                <w:sz w:val="24"/>
                <w:szCs w:val="24"/>
              </w:rPr>
              <w:t>数量</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55</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运营管理部</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行政岗</w:t>
            </w:r>
          </w:p>
        </w:tc>
        <w:tc>
          <w:tcPr>
            <w:tcW w:w="1248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行政管理，运营助理、成本核算</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56</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信息资源部</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工程师岗</w:t>
            </w:r>
          </w:p>
        </w:tc>
        <w:tc>
          <w:tcPr>
            <w:tcW w:w="126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计算机科学与技术等相关专业、信息安全相关专业</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硕士及以上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3</w:t>
            </w:r>
          </w:p>
        </w:tc>
      </w:tr>
      <w:tr w:rsidR="00907C21" w:rsidRPr="00907C21" w:rsidTr="00907C21">
        <w:trPr>
          <w:trHeight w:val="900"/>
          <w:tblCellSpacing w:w="0" w:type="dxa"/>
        </w:trPr>
        <w:tc>
          <w:tcPr>
            <w:tcW w:w="13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57</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后勤服务中心</w:t>
            </w:r>
          </w:p>
        </w:tc>
        <w:tc>
          <w:tcPr>
            <w:tcW w:w="3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工程师岗</w:t>
            </w:r>
          </w:p>
        </w:tc>
        <w:tc>
          <w:tcPr>
            <w:tcW w:w="1287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医学设备维修相关</w:t>
            </w:r>
          </w:p>
        </w:tc>
        <w:tc>
          <w:tcPr>
            <w:tcW w:w="4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本科及以上</w:t>
            </w:r>
          </w:p>
        </w:tc>
        <w:tc>
          <w:tcPr>
            <w:tcW w:w="564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907C21" w:rsidRPr="00907C21" w:rsidRDefault="00907C21" w:rsidP="00907C21">
            <w:pPr>
              <w:widowControl/>
              <w:wordWrap w:val="0"/>
              <w:ind w:firstLine="480"/>
              <w:jc w:val="center"/>
              <w:rPr>
                <w:rFonts w:ascii="微软雅黑" w:eastAsia="微软雅黑" w:hAnsi="微软雅黑" w:cs="宋体" w:hint="eastAsia"/>
                <w:color w:val="747474"/>
                <w:kern w:val="0"/>
                <w:sz w:val="27"/>
                <w:szCs w:val="27"/>
              </w:rPr>
            </w:pPr>
            <w:r w:rsidRPr="00907C21">
              <w:rPr>
                <w:rFonts w:ascii="微软雅黑" w:eastAsia="微软雅黑" w:hAnsi="微软雅黑" w:cs="宋体" w:hint="eastAsia"/>
                <w:color w:val="747474"/>
                <w:kern w:val="0"/>
                <w:sz w:val="24"/>
                <w:szCs w:val="24"/>
              </w:rPr>
              <w:t>1</w:t>
            </w:r>
          </w:p>
        </w:tc>
      </w:tr>
    </w:tbl>
    <w:p w:rsidR="00907C21" w:rsidRPr="00907C21" w:rsidRDefault="00907C21" w:rsidP="00907C21">
      <w:pPr>
        <w:widowControl/>
        <w:shd w:val="clear" w:color="auto" w:fill="FFFFFF"/>
        <w:wordWrap w:val="0"/>
        <w:ind w:firstLine="480"/>
        <w:jc w:val="left"/>
        <w:rPr>
          <w:rFonts w:ascii="宋体" w:eastAsia="宋体" w:hAnsi="宋体" w:cs="宋体" w:hint="eastAsia"/>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（二）2023-2025年百名博士暨高层次人才引进计划</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lastRenderedPageBreak/>
        <w:t>1.博士或博士后人才 在国内外著名高校或科研院所取得博士学历学位或从事博士后研究工作出站的青年人才，从事临床、教学、科研、医院管理、医院运营工作，有较好的研究经历和实践能力，研究方向明确，全职引进者原则上年龄一般在40周岁以下，名额不限、专业不限。</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2.高级专家  长江学者（教育部）、百人计划专家（中科院）、万人计划专家（人社部）、国家杰出青年科学基金获得者、各类省级学者（如楚天学者）、各类省部级医院医疗、教学、科研、运营、管理专家等高层次人才以柔性引进为主，年龄不限，名额不限、专业不限。</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三、待遇</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1. 全日制博士毕业全职引进者医院一次性提供安家费50万元、科研启动基金50万元。博士后出站全职引进者医院一次性提供安家费60万元、科研启动基金50万元。薪酬待遇按照国家事业单位标准和医院相关规定执行，符合十堰市人才引进政策的应聘者可享受十堰市人才引进政策相关待遇。</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2.长江学者、楚天学者等知名学者、省部级医院知名专家等高级专家引进待遇一人一拟，按照协议约定执行。</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四、考核引进流程</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医院将组织本科、硕士人才进行科室试岗、体能测试、医院面试等考核，根据综合考核成绩择优录用。博士、博士后及高级专家根据相关资料面谈引进。</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b/>
          <w:bCs/>
          <w:color w:val="333333"/>
          <w:kern w:val="0"/>
          <w:sz w:val="24"/>
          <w:szCs w:val="24"/>
          <w:shd w:val="clear" w:color="auto" w:fill="FFFFFF"/>
        </w:rPr>
        <w:t>五、联系方式</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联系电话：0719-8801618  8801566  </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地 址：湖北省十堰市茅箭区人民南路32号太和医院人事劳资处</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邮 编：442000</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lastRenderedPageBreak/>
        <w:t>邮 箱：sytaihe_rsk@163.com</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网 址：http://www.taihehospital.com</w:t>
      </w:r>
    </w:p>
    <w:p w:rsidR="00907C21" w:rsidRPr="00907C21" w:rsidRDefault="00907C21" w:rsidP="00907C21">
      <w:pPr>
        <w:widowControl/>
        <w:shd w:val="clear" w:color="auto" w:fill="FFFFFF"/>
        <w:wordWrap w:val="0"/>
        <w:ind w:firstLine="480"/>
        <w:jc w:val="left"/>
        <w:rPr>
          <w:rFonts w:ascii="宋体" w:eastAsia="宋体" w:hAnsi="宋体" w:cs="宋体"/>
          <w:color w:val="747474"/>
          <w:kern w:val="0"/>
          <w:sz w:val="24"/>
          <w:szCs w:val="24"/>
        </w:rPr>
      </w:pPr>
      <w:r w:rsidRPr="00907C21">
        <w:rPr>
          <w:rFonts w:ascii="微软雅黑" w:eastAsia="微软雅黑" w:hAnsi="微软雅黑" w:cs="宋体" w:hint="eastAsia"/>
          <w:color w:val="333333"/>
          <w:kern w:val="0"/>
          <w:sz w:val="24"/>
          <w:szCs w:val="24"/>
          <w:shd w:val="clear" w:color="auto" w:fill="FFFFFF"/>
        </w:rPr>
        <w:t>请将个人简历、身份证、学信网相关认证报告、相关资料电子版发送至上述邮箱，邮件主题请注明：人才层次（本科、硕士、博士、博士后、高级专家）+专业方向+姓名。</w:t>
      </w:r>
      <w:bookmarkStart w:id="3" w:name="_GoBack"/>
      <w:bookmarkEnd w:id="3"/>
    </w:p>
    <w:p w:rsidR="003464CE" w:rsidRPr="00907C21" w:rsidRDefault="003464CE"/>
    <w:sectPr w:rsidR="003464CE" w:rsidRPr="00907C21" w:rsidSect="00907C21">
      <w:pgSz w:w="20160" w:h="12240" w:orient="landscape" w:code="5"/>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4C6" w:rsidRDefault="00E454C6" w:rsidP="00907C21">
      <w:r>
        <w:separator/>
      </w:r>
    </w:p>
  </w:endnote>
  <w:endnote w:type="continuationSeparator" w:id="0">
    <w:p w:rsidR="00E454C6" w:rsidRDefault="00E454C6" w:rsidP="00907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4C6" w:rsidRDefault="00E454C6" w:rsidP="00907C21">
      <w:r>
        <w:separator/>
      </w:r>
    </w:p>
  </w:footnote>
  <w:footnote w:type="continuationSeparator" w:id="0">
    <w:p w:rsidR="00E454C6" w:rsidRDefault="00E454C6" w:rsidP="00907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1"/>
    <w:rsid w:val="003464CE"/>
    <w:rsid w:val="004C1811"/>
    <w:rsid w:val="00907C21"/>
    <w:rsid w:val="00E4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B69FE1-7E2F-45A8-ABD7-4F268FAB1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7C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07C21"/>
    <w:rPr>
      <w:sz w:val="18"/>
      <w:szCs w:val="18"/>
    </w:rPr>
  </w:style>
  <w:style w:type="paragraph" w:styleId="a4">
    <w:name w:val="footer"/>
    <w:basedOn w:val="a"/>
    <w:link w:val="Char0"/>
    <w:uiPriority w:val="99"/>
    <w:unhideWhenUsed/>
    <w:rsid w:val="00907C21"/>
    <w:pPr>
      <w:tabs>
        <w:tab w:val="center" w:pos="4153"/>
        <w:tab w:val="right" w:pos="8306"/>
      </w:tabs>
      <w:snapToGrid w:val="0"/>
      <w:jc w:val="left"/>
    </w:pPr>
    <w:rPr>
      <w:sz w:val="18"/>
      <w:szCs w:val="18"/>
    </w:rPr>
  </w:style>
  <w:style w:type="character" w:customStyle="1" w:styleId="Char0">
    <w:name w:val="页脚 Char"/>
    <w:basedOn w:val="a0"/>
    <w:link w:val="a4"/>
    <w:uiPriority w:val="99"/>
    <w:rsid w:val="00907C21"/>
    <w:rPr>
      <w:sz w:val="18"/>
      <w:szCs w:val="18"/>
    </w:rPr>
  </w:style>
  <w:style w:type="paragraph" w:styleId="a5">
    <w:name w:val="Normal (Web)"/>
    <w:basedOn w:val="a"/>
    <w:uiPriority w:val="99"/>
    <w:semiHidden/>
    <w:unhideWhenUsed/>
    <w:rsid w:val="00907C2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07C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570</Words>
  <Characters>3255</Characters>
  <Application>Microsoft Office Word</Application>
  <DocSecurity>0</DocSecurity>
  <Lines>27</Lines>
  <Paragraphs>7</Paragraphs>
  <ScaleCrop>false</ScaleCrop>
  <Company>Windows 中国</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2022-12-27T07:37:00Z</dcterms:created>
  <dcterms:modified xsi:type="dcterms:W3CDTF">2022-12-27T07:37:00Z</dcterms:modified>
</cp:coreProperties>
</file>