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南华大学附属第一医院创建于1943年，坐落在历史文化名城——衡阳，是国家卫生部首批授予的三级甲等医院、湖南省人民政府与国家卫健委共建附属医院、省域医疗中心。医院集医疗、教学、科研、预防、保健、康复于一体，以诊治各种复杂、疑难和危急重症疾病而享誉省内外。</w:t>
      </w:r>
    </w:p>
    <w:p w:rsidR="00FF6855" w:rsidRPr="00FF6855" w:rsidRDefault="00FF6855" w:rsidP="00FF6855">
      <w:pPr>
        <w:widowControl/>
        <w:shd w:val="clear" w:color="auto" w:fill="FFFFFF"/>
        <w:wordWrap w:val="0"/>
        <w:spacing w:line="600" w:lineRule="atLeast"/>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医院占地面积107亩，编制床位2315张，开放床位2700张，设有43个临床科室、8个医技科室。年门急诊人次约180万，年出院约10万人次，年手术量约3.5万台次。医疗服务量列全省单体医院第4，省级医院第1。</w:t>
      </w:r>
    </w:p>
    <w:p w:rsidR="00FF6855" w:rsidRPr="00FF6855" w:rsidRDefault="00FF6855" w:rsidP="00FF6855">
      <w:pPr>
        <w:widowControl/>
        <w:shd w:val="clear" w:color="auto" w:fill="FFFFFF"/>
        <w:wordWrap w:val="0"/>
        <w:spacing w:line="600" w:lineRule="atLeast"/>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医院现有在职职工2911人，其中高级职称499人，博士博士后188人，具有博士学位人员占衡阳市医疗卫生机构博士总体人数的80%。拥有亚太眼科教授学院院士、长江学者特聘教授、国家杰出青年基金获得者、国家重点研发计划首席科学家、国家百千万人才工程国家级人选、享受国务院政府特殊津贴人员、卫生部有突出贡献中青年专家、中央保健会诊专家、享受湖南省政府特殊津贴人员、湖南省121创新人才培养工程人选、湖南省高层次卫生人才“225”工程培养对象、湖湘名医、湖南省名中医等各类人才百余人次。</w:t>
      </w:r>
    </w:p>
    <w:p w:rsidR="00FF6855" w:rsidRPr="00FF6855" w:rsidRDefault="00FF6855" w:rsidP="00FF6855">
      <w:pPr>
        <w:widowControl/>
        <w:shd w:val="clear" w:color="auto" w:fill="FFFFFF"/>
        <w:wordWrap w:val="0"/>
        <w:spacing w:line="600" w:lineRule="atLeast"/>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医院是国家心血管疑难病症诊治能力提升工程建设项目单位、首批国家临床教学培训示范中心、国家专科规范化培训基地、国家高级卒中中心、国家胸痛中心、国家心衰中心、国家房颤中心、国家心血管区域医疗中心联合建设单位、国家代谢性疾病临床医学研究中心核心成员单位、中国创伤救治联盟成员单位、中国心力衰竭促进和 COE 项目合作单位、国家心力衰竭医联体湖南省省中心单位、国家眼部疾病临床医学研究中心湖南省分中心、湖南省干眼疾病临床医学研究中心、湖南省免疫相关性脑病临床医学研究中心、湖南省重大疫情救治基地、中国医师协会外科医师培训基地。</w:t>
      </w:r>
    </w:p>
    <w:p w:rsidR="00FF6855" w:rsidRPr="00FF6855" w:rsidRDefault="00FF6855" w:rsidP="00FF6855">
      <w:pPr>
        <w:widowControl/>
        <w:shd w:val="clear" w:color="auto" w:fill="FFFFFF"/>
        <w:wordWrap w:val="0"/>
        <w:spacing w:line="600" w:lineRule="atLeast"/>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医院拥有心血管内科、普通外科、骨科、神经内科、消化内科、儿科、急诊医学科、感染科、医学影像科、护理学、胃肠外科、肿瘤科12个湖南省临床重点专科，呼吸与危重症医学科、肾病科、肛肠科、泌尿外科、妇科、耳鼻咽喉科、医疗美容科、麻醉科、临床药学、医学检验科、肝胆胰外科、神经外科、胸心血管外</w:t>
      </w:r>
      <w:r w:rsidRPr="00FF6855">
        <w:rPr>
          <w:rFonts w:ascii="微软雅黑" w:eastAsia="微软雅黑" w:hAnsi="微软雅黑" w:cs="宋体" w:hint="eastAsia"/>
          <w:color w:val="747474"/>
          <w:kern w:val="0"/>
          <w:sz w:val="24"/>
          <w:szCs w:val="24"/>
        </w:rPr>
        <w:lastRenderedPageBreak/>
        <w:t>科、眼科、口腔科、康复医学科、重症医学科、健康管理中心18个湖南省临床重点专科建设专科。以新技术新项目为依托，树立了微创、介入、内镜、急危重症患者多学科联合救治4大技术品牌；打造了肾内科、骨科、整形外科等3个全国百强专科；形成了神经与康复、肿瘤疾病、急诊医学、危重症医学等9大优势学科群；眼科为国家眼部疾病临床医学研究中心湖南省唯一分中心；中医科建有湖南省名中医传承工作室。达芬奇手术机器人项目开展数量居全国前列。</w:t>
      </w:r>
    </w:p>
    <w:p w:rsidR="00FF6855" w:rsidRPr="00FF6855" w:rsidRDefault="00FF6855" w:rsidP="00FF6855">
      <w:pPr>
        <w:widowControl/>
        <w:shd w:val="clear" w:color="auto" w:fill="FFFFFF"/>
        <w:wordWrap w:val="0"/>
        <w:spacing w:line="600" w:lineRule="atLeast"/>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医院是全国著名的医学人才培养基地，是临床医学一级学科博士和硕士学位授权点，近10年共培养博士、硕士研究生1150余人；2020年麻醉科专业基地成为全国重点住培专业基地；医学检验技术专业、医学影像学两个专业通过湖南省一流本科专业建设点认定。近年来，全国大学生临床技能竞赛成为医院名片，在全国总决赛上获特等奖1次，二等奖1次。从南华附一起步，走出了一大批包括中国科学院院士、长江学者、973首席科学家和国家杰出青年基金获得者在内的高端医学人才，毕业生覆盖全省80%以上三甲医院。</w:t>
      </w:r>
    </w:p>
    <w:p w:rsidR="00FF6855" w:rsidRPr="00FF6855" w:rsidRDefault="00FF6855" w:rsidP="00FF6855">
      <w:pPr>
        <w:widowControl/>
        <w:shd w:val="clear" w:color="auto" w:fill="FFFFFF"/>
        <w:wordWrap w:val="0"/>
        <w:spacing w:line="600" w:lineRule="atLeast"/>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医院大力实施“科技兴院”政策，通过锤炼学科群，重点布局了内分泌研究所、心血管疾病研究所、肿瘤疾病研究所、骨与关节疾病研究所、神经疾病研究所、医学影像研究所、心血管大数据与影像人工智能实验室、脑疾病多组学研究中心、感染相关疾病研究所，总计9个研究所，获批了国家眼部疾病临床医学研究中心湖南分中心和国家代谢性疾病临床医学研究中心湖南分中心2个国家临床医学研究中心湖南分中心以及湖南省糖尿病临床医学研究中心、湖南省脊柱微创临床医学中心、湖南省心肌损伤临床医学研究中心、湖南省干眼疾病临床医学研究中心、湖南省免疫相关性脑病临床医学研究中心5个湖南省临床医学研究中心；另医院还建设完成了一个实验功能完备的中心实验室。通过各科研平台的持续建设，近年来共获得国家自然科学基金70余项，省部级科研项目300余项；近三年在Nature Communications, Hepatology, Journal of Hematology &amp; Oncology等中科院top期刊发表SCI论文600余篇，获得国家科学技术进步二等奖1项，湖南省自然科学奖一等奖2项，省科学技术进步二等奖3项，自然科学二等奖1项，三等奖1项。科研综合实力位列全省单体医院第4，省级医院第1。</w:t>
      </w:r>
    </w:p>
    <w:p w:rsidR="00FF6855" w:rsidRPr="00FF6855" w:rsidRDefault="00FF6855" w:rsidP="00FF6855">
      <w:pPr>
        <w:widowControl/>
        <w:shd w:val="clear" w:color="auto" w:fill="FFFFFF"/>
        <w:wordWrap w:val="0"/>
        <w:spacing w:line="600" w:lineRule="atLeast"/>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lastRenderedPageBreak/>
        <w:t>医院始终坚持以人民健康为中心，以救死扶伤、防病治病、 提高人民健康水平和促进医学事业发展为办院宗旨，秉承“团结、求实 、创新、维康”的院训精神，坚持高质量、内涵式发展，以提升“医教研、产学管”能力为重点，聚焦“坚持党的领导，凸显社会公益性”和“抓好学科建设，实现高质量发展”这两个核心，致力于创建国内一流的国家级区域性医疗服务中心、医学教育中心及临床研究中心。</w:t>
      </w:r>
    </w:p>
    <w:p w:rsidR="00FF6855" w:rsidRPr="00FF6855" w:rsidRDefault="00FF6855" w:rsidP="00FF6855">
      <w:pPr>
        <w:widowControl/>
        <w:shd w:val="clear" w:color="auto" w:fill="FFFFFF"/>
        <w:wordWrap w:val="0"/>
        <w:spacing w:line="465" w:lineRule="atLeast"/>
        <w:ind w:firstLine="480"/>
        <w:jc w:val="left"/>
        <w:rPr>
          <w:rFonts w:ascii="宋体" w:eastAsia="宋体" w:hAnsi="宋体" w:cs="宋体"/>
          <w:color w:val="747474"/>
          <w:kern w:val="0"/>
          <w:sz w:val="24"/>
          <w:szCs w:val="24"/>
        </w:rPr>
      </w:pP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br w:type="textWrapping" w:clear="all"/>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p>
    <w:tbl>
      <w:tblPr>
        <w:tblW w:w="16800" w:type="dxa"/>
        <w:tblCellSpacing w:w="0" w:type="dxa"/>
        <w:shd w:val="clear" w:color="auto" w:fill="FFFFFF"/>
        <w:tblCellMar>
          <w:left w:w="0" w:type="dxa"/>
          <w:right w:w="0" w:type="dxa"/>
        </w:tblCellMar>
        <w:tblLook w:val="04A0" w:firstRow="1" w:lastRow="0" w:firstColumn="1" w:lastColumn="0" w:noHBand="0" w:noVBand="1"/>
      </w:tblPr>
      <w:tblGrid>
        <w:gridCol w:w="1539"/>
        <w:gridCol w:w="3505"/>
        <w:gridCol w:w="1354"/>
        <w:gridCol w:w="1168"/>
        <w:gridCol w:w="9234"/>
      </w:tblGrid>
      <w:tr w:rsidR="00FF6855" w:rsidRPr="00FF6855" w:rsidTr="00FF6855">
        <w:trPr>
          <w:trHeight w:val="1320"/>
          <w:tblCellSpacing w:w="0" w:type="dxa"/>
        </w:trPr>
        <w:tc>
          <w:tcPr>
            <w:tcW w:w="13170" w:type="dxa"/>
            <w:gridSpan w:val="5"/>
            <w:shd w:val="clear" w:color="auto" w:fill="FFFFFF"/>
            <w:noWrap/>
            <w:tcMar>
              <w:top w:w="0" w:type="dxa"/>
              <w:left w:w="105" w:type="dxa"/>
              <w:bottom w:w="0" w:type="dxa"/>
              <w:right w:w="105" w:type="dxa"/>
            </w:tcMar>
            <w:vAlign w:val="center"/>
            <w:hideMark/>
          </w:tcPr>
          <w:p w:rsidR="00FF6855" w:rsidRPr="00FF6855" w:rsidRDefault="00FF6855" w:rsidP="00FF6855">
            <w:pPr>
              <w:widowControl/>
              <w:jc w:val="left"/>
              <w:rPr>
                <w:rFonts w:ascii="微软雅黑" w:eastAsia="微软雅黑" w:hAnsi="微软雅黑" w:cs="宋体"/>
                <w:color w:val="000000"/>
                <w:kern w:val="0"/>
                <w:sz w:val="27"/>
                <w:szCs w:val="27"/>
              </w:rPr>
            </w:pPr>
            <w:r w:rsidRPr="00FF6855">
              <w:rPr>
                <w:rFonts w:ascii="微软雅黑" w:eastAsia="微软雅黑" w:hAnsi="微软雅黑" w:cs="宋体" w:hint="eastAsia"/>
                <w:color w:val="000000"/>
                <w:kern w:val="0"/>
                <w:sz w:val="24"/>
                <w:szCs w:val="24"/>
              </w:rPr>
              <w:br w:type="textWrapping" w:clear="all"/>
              <w:t>  </w:t>
            </w:r>
            <w:r w:rsidRPr="00FF6855">
              <w:rPr>
                <w:rFonts w:ascii="微软雅黑" w:eastAsia="微软雅黑" w:hAnsi="微软雅黑" w:cs="宋体" w:hint="eastAsia"/>
                <w:color w:val="000000"/>
                <w:kern w:val="0"/>
                <w:sz w:val="27"/>
                <w:szCs w:val="27"/>
              </w:rPr>
              <w:t> </w:t>
            </w:r>
          </w:p>
          <w:p w:rsidR="00FF6855" w:rsidRPr="00FF6855" w:rsidRDefault="00FF6855" w:rsidP="00FF6855">
            <w:pPr>
              <w:widowControl/>
              <w:wordWrap w:val="0"/>
              <w:ind w:firstLine="480"/>
              <w:jc w:val="left"/>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南华大学附属第一医院2023年招聘计划一览表</w:t>
            </w:r>
          </w:p>
        </w:tc>
      </w:tr>
      <w:tr w:rsidR="00FF6855" w:rsidRPr="00FF6855" w:rsidTr="00FF6855">
        <w:trPr>
          <w:trHeight w:val="1005"/>
          <w:tblCellSpacing w:w="0" w:type="dxa"/>
        </w:trPr>
        <w:tc>
          <w:tcPr>
            <w:tcW w:w="1215"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岗位类别</w:t>
            </w:r>
          </w:p>
        </w:tc>
        <w:tc>
          <w:tcPr>
            <w:tcW w:w="2820"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需求科室</w:t>
            </w:r>
          </w:p>
        </w:tc>
        <w:tc>
          <w:tcPr>
            <w:tcW w:w="1080"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学历</w:t>
            </w:r>
          </w:p>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要求</w:t>
            </w:r>
          </w:p>
        </w:tc>
        <w:tc>
          <w:tcPr>
            <w:tcW w:w="765"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计划人数</w:t>
            </w:r>
          </w:p>
        </w:tc>
        <w:tc>
          <w:tcPr>
            <w:tcW w:w="74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要求（具体要求以我院官网公布为准）</w:t>
            </w:r>
          </w:p>
        </w:tc>
      </w:tr>
      <w:tr w:rsidR="00FF6855" w:rsidRPr="00FF6855" w:rsidTr="00FF6855">
        <w:trPr>
          <w:trHeight w:val="2325"/>
          <w:tblCellSpacing w:w="0" w:type="dxa"/>
        </w:trPr>
        <w:tc>
          <w:tcPr>
            <w:tcW w:w="1215" w:type="dxa"/>
            <w:vMerge w:val="restart"/>
            <w:tcBorders>
              <w:top w:val="nil"/>
              <w:left w:val="single" w:sz="6" w:space="0" w:color="000000"/>
              <w:bottom w:val="nil"/>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lastRenderedPageBreak/>
              <w:t>医师</w:t>
            </w:r>
          </w:p>
        </w:tc>
        <w:tc>
          <w:tcPr>
            <w:tcW w:w="282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心血管内科、肾内科、消化内科、呼吸与危重症医学科、神经内科、内分泌代谢科、血液内科、风湿免疫科、儿科、中医科、肛肠科、感染科、肝胆胰外科、关节运动科、创伤骨科、手足显微外科、脊柱外科、泌尿外科、神经外科、胸心血管外科、烧伤整形外科、妇产科、眼科、耳鼻咽喉科、口腔科、康复医学科、疼痛科、麻醉科、皮肤科、乳甲外科、胃肠外科、肿</w:t>
            </w:r>
            <w:r w:rsidRPr="00FF6855">
              <w:rPr>
                <w:rFonts w:ascii="微软雅黑" w:eastAsia="微软雅黑" w:hAnsi="微软雅黑" w:cs="宋体" w:hint="eastAsia"/>
                <w:color w:val="747474"/>
                <w:kern w:val="0"/>
                <w:sz w:val="24"/>
                <w:szCs w:val="24"/>
              </w:rPr>
              <w:lastRenderedPageBreak/>
              <w:t>瘤中心、重症医学科、急诊医学科、全科医学科、医疗美容科、健康管理中心、临床心理医学科、临床营养科、生殖医学中心、男性科、功能科、超声医学科、病理科、院前急救科、放射影像中心、核医学科</w:t>
            </w:r>
          </w:p>
        </w:tc>
        <w:tc>
          <w:tcPr>
            <w:tcW w:w="10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lastRenderedPageBreak/>
              <w:t>博士研究生</w:t>
            </w:r>
          </w:p>
        </w:tc>
        <w:tc>
          <w:tcPr>
            <w:tcW w:w="76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若干</w:t>
            </w:r>
          </w:p>
        </w:tc>
        <w:tc>
          <w:tcPr>
            <w:tcW w:w="72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年龄35岁以下；需具备相应专业的医师资格证（八年制博士暂不做要求）；招聘岗位要求专业方向。</w:t>
            </w:r>
          </w:p>
        </w:tc>
      </w:tr>
      <w:tr w:rsidR="00FF6855" w:rsidRPr="00FF6855" w:rsidTr="00FF6855">
        <w:trPr>
          <w:trHeight w:val="5310"/>
          <w:tblCellSpacing w:w="0" w:type="dxa"/>
        </w:trPr>
        <w:tc>
          <w:tcPr>
            <w:tcW w:w="0" w:type="auto"/>
            <w:vMerge/>
            <w:tcBorders>
              <w:top w:val="nil"/>
              <w:left w:val="single" w:sz="6" w:space="0" w:color="000000"/>
              <w:bottom w:val="nil"/>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10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硕士研究生</w:t>
            </w:r>
          </w:p>
        </w:tc>
        <w:tc>
          <w:tcPr>
            <w:tcW w:w="76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若干</w:t>
            </w:r>
          </w:p>
        </w:tc>
        <w:tc>
          <w:tcPr>
            <w:tcW w:w="2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年龄32岁以下；需具备相应专业的医师资格证及规培证（具有主治医师可不提供规培证）；第一学历为临床医学专业或招聘岗位要求专业方向；大学英语四级425分及以上（部分岗位大学英语六级425分及以上）；招聘岗位要求专业方向。</w:t>
            </w:r>
          </w:p>
        </w:tc>
      </w:tr>
      <w:tr w:rsidR="00FF6855" w:rsidRPr="00FF6855" w:rsidTr="00FF6855">
        <w:trPr>
          <w:trHeight w:val="1005"/>
          <w:tblCellSpacing w:w="0" w:type="dxa"/>
        </w:trPr>
        <w:tc>
          <w:tcPr>
            <w:tcW w:w="1215" w:type="dxa"/>
            <w:vMerge w:val="restart"/>
            <w:tcBorders>
              <w:top w:val="single" w:sz="6" w:space="0" w:color="000000"/>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技师、药师</w:t>
            </w:r>
          </w:p>
        </w:tc>
        <w:tc>
          <w:tcPr>
            <w:tcW w:w="282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检验医学中心、输血科、康复医学科、放射影像中心、病理科、儿童保健康复科、核医学科、药学部</w:t>
            </w:r>
          </w:p>
        </w:tc>
        <w:tc>
          <w:tcPr>
            <w:tcW w:w="1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博士研究生</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若干</w:t>
            </w:r>
          </w:p>
        </w:tc>
        <w:tc>
          <w:tcPr>
            <w:tcW w:w="72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年龄35岁以下；招聘岗位要求专业方向。</w:t>
            </w:r>
          </w:p>
        </w:tc>
      </w:tr>
      <w:tr w:rsidR="00FF6855" w:rsidRPr="00FF6855" w:rsidTr="00FF6855">
        <w:trPr>
          <w:trHeight w:val="1980"/>
          <w:tblCellSpacing w:w="0" w:type="dxa"/>
        </w:trPr>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1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硕士研究生</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若干</w:t>
            </w:r>
          </w:p>
        </w:tc>
        <w:tc>
          <w:tcPr>
            <w:tcW w:w="2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年龄32岁以下；大学英语四级425分及以上（部分岗位大学英语六级425分及以上）；招聘岗位要求专业方向。</w:t>
            </w:r>
          </w:p>
        </w:tc>
      </w:tr>
      <w:tr w:rsidR="00FF6855" w:rsidRPr="00FF6855" w:rsidTr="00FF6855">
        <w:trPr>
          <w:trHeight w:val="2355"/>
          <w:tblCellSpacing w:w="0" w:type="dxa"/>
        </w:trPr>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1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大学本科</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若干</w:t>
            </w:r>
          </w:p>
        </w:tc>
        <w:tc>
          <w:tcPr>
            <w:tcW w:w="2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年龄28岁以下；要求为高中起点本科、并取得学历学位双证；大学英语四级425分及以上（部分岗位大学英语六级425分及以上）；招聘岗位要求专业方向。</w:t>
            </w:r>
          </w:p>
        </w:tc>
      </w:tr>
      <w:tr w:rsidR="00FF6855" w:rsidRPr="00FF6855" w:rsidTr="00FF6855">
        <w:trPr>
          <w:trHeight w:val="2325"/>
          <w:tblCellSpacing w:w="0" w:type="dxa"/>
        </w:trPr>
        <w:tc>
          <w:tcPr>
            <w:tcW w:w="1215" w:type="dxa"/>
            <w:tcBorders>
              <w:top w:val="single" w:sz="6" w:space="0" w:color="000000"/>
              <w:left w:val="single" w:sz="6" w:space="0" w:color="000000"/>
              <w:bottom w:val="nil"/>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科研</w:t>
            </w:r>
          </w:p>
        </w:tc>
        <w:tc>
          <w:tcPr>
            <w:tcW w:w="2820"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内分泌研究所、肿瘤疾病研究所、骨与关节疾病研究所、心血管疾病研究所、中心实验室、脑疾病多组学研究中心、医学大数据与人工智能教研室、医学影像研究中心</w:t>
            </w:r>
          </w:p>
        </w:tc>
        <w:tc>
          <w:tcPr>
            <w:tcW w:w="1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博士研究生</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若干</w:t>
            </w:r>
          </w:p>
        </w:tc>
        <w:tc>
          <w:tcPr>
            <w:tcW w:w="72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年龄35岁以下；招聘岗位要求专业方向；发表高水平SCI论文及博士后优先。</w:t>
            </w:r>
          </w:p>
        </w:tc>
      </w:tr>
      <w:tr w:rsidR="00FF6855" w:rsidRPr="00FF6855" w:rsidTr="00FF6855">
        <w:trPr>
          <w:trHeight w:val="675"/>
          <w:tblCellSpacing w:w="0" w:type="dxa"/>
        </w:trPr>
        <w:tc>
          <w:tcPr>
            <w:tcW w:w="121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b/>
                <w:bCs/>
                <w:color w:val="747474"/>
                <w:kern w:val="0"/>
                <w:sz w:val="24"/>
                <w:szCs w:val="24"/>
              </w:rPr>
              <w:t>护理</w:t>
            </w:r>
          </w:p>
        </w:tc>
        <w:tc>
          <w:tcPr>
            <w:tcW w:w="2820" w:type="dxa"/>
            <w:vMerge w:val="restart"/>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护理部及各临床科室</w:t>
            </w:r>
          </w:p>
        </w:tc>
        <w:tc>
          <w:tcPr>
            <w:tcW w:w="10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博士研究生</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若干</w:t>
            </w:r>
          </w:p>
        </w:tc>
        <w:tc>
          <w:tcPr>
            <w:tcW w:w="72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年龄35岁以下；护理学。</w:t>
            </w:r>
          </w:p>
        </w:tc>
      </w:tr>
      <w:tr w:rsidR="00FF6855" w:rsidRPr="00FF6855" w:rsidTr="00FF6855">
        <w:trPr>
          <w:trHeight w:val="1335"/>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10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硕士研究生</w:t>
            </w:r>
          </w:p>
        </w:tc>
        <w:tc>
          <w:tcPr>
            <w:tcW w:w="76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若干</w:t>
            </w:r>
          </w:p>
        </w:tc>
        <w:tc>
          <w:tcPr>
            <w:tcW w:w="2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年龄32岁以下；大学英语四级425分及以上；护理学。</w:t>
            </w:r>
          </w:p>
        </w:tc>
      </w:tr>
      <w:tr w:rsidR="00FF6855" w:rsidRPr="00FF6855" w:rsidTr="00FF6855">
        <w:trPr>
          <w:trHeight w:val="1665"/>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FF6855" w:rsidRPr="00FF6855" w:rsidRDefault="00FF6855" w:rsidP="00FF6855">
            <w:pPr>
              <w:widowControl/>
              <w:jc w:val="left"/>
              <w:rPr>
                <w:rFonts w:ascii="微软雅黑" w:eastAsia="微软雅黑" w:hAnsi="微软雅黑" w:cs="宋体"/>
                <w:color w:val="747474"/>
                <w:kern w:val="0"/>
                <w:sz w:val="27"/>
                <w:szCs w:val="27"/>
              </w:rPr>
            </w:pPr>
          </w:p>
        </w:tc>
        <w:tc>
          <w:tcPr>
            <w:tcW w:w="108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大学本科</w:t>
            </w:r>
          </w:p>
        </w:tc>
        <w:tc>
          <w:tcPr>
            <w:tcW w:w="76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若干</w:t>
            </w:r>
          </w:p>
        </w:tc>
        <w:tc>
          <w:tcPr>
            <w:tcW w:w="2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center"/>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年龄28岁以下（部分岗位限应届毕业生、年龄25岁以下）；要求为高中起点本科、并取得学历学位双证；护理学专业。</w:t>
            </w:r>
          </w:p>
        </w:tc>
      </w:tr>
      <w:tr w:rsidR="00FF6855" w:rsidRPr="00FF6855" w:rsidTr="00FF6855">
        <w:trPr>
          <w:trHeight w:val="1350"/>
          <w:tblCellSpacing w:w="0" w:type="dxa"/>
        </w:trPr>
        <w:tc>
          <w:tcPr>
            <w:tcW w:w="13170" w:type="dxa"/>
            <w:gridSpan w:val="5"/>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F6855" w:rsidRPr="00FF6855" w:rsidRDefault="00FF6855" w:rsidP="00FF6855">
            <w:pPr>
              <w:widowControl/>
              <w:wordWrap w:val="0"/>
              <w:ind w:firstLine="480"/>
              <w:jc w:val="left"/>
              <w:textAlignment w:val="center"/>
              <w:rPr>
                <w:rFonts w:ascii="微软雅黑" w:eastAsia="微软雅黑" w:hAnsi="微软雅黑" w:cs="宋体" w:hint="eastAsia"/>
                <w:color w:val="747474"/>
                <w:kern w:val="0"/>
                <w:sz w:val="27"/>
                <w:szCs w:val="27"/>
              </w:rPr>
            </w:pPr>
            <w:r w:rsidRPr="00FF6855">
              <w:rPr>
                <w:rFonts w:ascii="微软雅黑" w:eastAsia="微软雅黑" w:hAnsi="微软雅黑" w:cs="宋体" w:hint="eastAsia"/>
                <w:color w:val="747474"/>
                <w:kern w:val="0"/>
                <w:sz w:val="24"/>
                <w:szCs w:val="24"/>
              </w:rPr>
              <w:t>备注：博士研究生具有中级职称者年龄放宽至40岁及以下，具有副高职称者年龄放宽至45岁及以下，具有正高职称者年龄放宽至50岁及以下；硕士研究生具有中级职称者年龄放宽至35岁及以下，具有副高职称者年龄放宽至45岁及以下，具有正高职称者年龄放宽至50岁及以下（限医师岗位）</w:t>
            </w:r>
          </w:p>
        </w:tc>
      </w:tr>
    </w:tbl>
    <w:p w:rsidR="00FF6855" w:rsidRPr="00FF6855" w:rsidRDefault="00FF6855" w:rsidP="00FF6855">
      <w:pPr>
        <w:widowControl/>
        <w:shd w:val="clear" w:color="auto" w:fill="FFFFFF"/>
        <w:wordWrap w:val="0"/>
        <w:ind w:firstLine="480"/>
        <w:jc w:val="center"/>
        <w:rPr>
          <w:rFonts w:ascii="宋体" w:eastAsia="宋体" w:hAnsi="宋体" w:cs="宋体" w:hint="eastAsia"/>
          <w:color w:val="747474"/>
          <w:kern w:val="0"/>
          <w:sz w:val="24"/>
          <w:szCs w:val="24"/>
        </w:rPr>
      </w:pP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博士人才引进层次及待遇标准</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（一）第一层次</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业绩条件</w:t>
      </w:r>
      <w:r w:rsidRPr="00FF6855">
        <w:rPr>
          <w:rFonts w:ascii="微软雅黑" w:eastAsia="微软雅黑" w:hAnsi="微软雅黑" w:cs="宋体" w:hint="eastAsia"/>
          <w:b/>
          <w:bCs/>
          <w:color w:val="747474"/>
          <w:kern w:val="0"/>
          <w:sz w:val="24"/>
          <w:szCs w:val="24"/>
          <w:shd w:val="clear" w:color="auto" w:fill="FFFFFF"/>
        </w:rPr>
        <w:t>（符合下列条件之一即可）</w:t>
      </w:r>
      <w:r w:rsidRPr="00FF6855">
        <w:rPr>
          <w:rFonts w:ascii="微软雅黑" w:eastAsia="微软雅黑" w:hAnsi="微软雅黑" w:cs="宋体" w:hint="eastAsia"/>
          <w:b/>
          <w:bCs/>
          <w:color w:val="747474"/>
          <w:kern w:val="0"/>
          <w:sz w:val="24"/>
          <w:szCs w:val="24"/>
        </w:rPr>
        <w:t>：</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1.近5年以第一作者或通讯作者发表一区SCI论文（中科院分区，限研究型论文，下同）3篇及以上，其中至少有2篇为排名第一的第一作者或排名最后的通讯作者；</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2.主持项目获得省级自然科学、技术发明、科技进步二等奖及以上；</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lastRenderedPageBreak/>
        <w:t>3.主持项目获得省级人文社会科学研究优秀成果奖；或全国优秀博士论文获得者。</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在本科高校任教的教授、三甲医院的主任医师、大型科研机构的研究员可在上述所列业绩上适当放宽，但需通过专业考核，考核细则另行制定。</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相关待遇（人民币，万元，税前）：</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安家费：90</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科研启动金：80</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（二）第二层次</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业绩条件</w:t>
      </w:r>
      <w:r w:rsidRPr="00FF6855">
        <w:rPr>
          <w:rFonts w:ascii="微软雅黑" w:eastAsia="微软雅黑" w:hAnsi="微软雅黑" w:cs="宋体" w:hint="eastAsia"/>
          <w:b/>
          <w:bCs/>
          <w:color w:val="747474"/>
          <w:kern w:val="0"/>
          <w:sz w:val="24"/>
          <w:szCs w:val="24"/>
          <w:shd w:val="clear" w:color="auto" w:fill="FFFFFF"/>
        </w:rPr>
        <w:t>（符合下列条件之一即可）</w:t>
      </w:r>
      <w:r w:rsidRPr="00FF6855">
        <w:rPr>
          <w:rFonts w:ascii="微软雅黑" w:eastAsia="微软雅黑" w:hAnsi="微软雅黑" w:cs="宋体" w:hint="eastAsia"/>
          <w:b/>
          <w:bCs/>
          <w:color w:val="747474"/>
          <w:kern w:val="0"/>
          <w:sz w:val="24"/>
          <w:szCs w:val="24"/>
        </w:rPr>
        <w:t>：</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1.近5年以第一作者或通讯作者发表一区SCI论文2篇及以上，其中至少有1篇为排名第一的第一作者或排名最后的通讯作者或以第一作者或通讯作者发表SCI论文2篇及以上，其中1篇为IF≥10的一区论文且本人为排名第一的第一作者或排名最后的通讯作者；</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2.主持项目获得省级自然科学、技术发明、科技进步三等奖及以上；</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3.以第一完成人获得国家发明专利3项及以上；或省（直辖市）优秀博士论文获得者。</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在本科高校任教的副教授、三甲医院的副主任医师、大型科研机构的副研究员；博士后或在海外知名大学（或科研机构）获得博士学位，且被 2 名及以上海外同行知名教授推荐的人员可在上述所列业绩上适当放宽，但需通过专业考核，考核细则另行制定。</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相关待遇（人民币，万元，税前）：</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lastRenderedPageBreak/>
        <w:t>安家费：70</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科研启动金：60</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（三）第三层次</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业绩条件：</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近5年以排名第一的第一作者或排名最后的通讯作者发表一区SCI论文1篇及以上；或以第一作者或通讯作者发表二区SCI论文2篇及以上，其中至少有1篇为排名第一的第一作者或排名最后的通讯作者。</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相关待遇（人民币，万元，税前）：</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安家费：60</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科研启动金：40</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（四）第四层次</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业绩条件：</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近5年以排名第一的第一作者或排名最后的通讯作者发表SCI论文1篇及以上。</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相关待遇（人民币，万元，税前）：</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安家费：50</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lastRenderedPageBreak/>
        <w:t>科研启动金：20</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说明：</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1.如引进博士临床专业水平突出，为学科急需或紧缺人才，通过考核后，可适当放宽引进条件。</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2.如发表论文存在并列第一作者时，如IF≥10分排名前三的并列作者予以认可；如IF≥6分排名前二的并列作者予以认可；如IF&lt;6分排名第一的并列作者予以认可。独立一作或独立通讯作者及排名第一的第一作者或排名最后的通讯作者计算篇幅为1篇，其余并列作者计算篇幅为1/N。</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t>其他福利待遇：</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（1）事业单位工资标准及五险两金。</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（2）享受医院人才岗位绩效4000/月（博士绩效、职称绩效，可叠加），人才住房补贴等。</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（3）享受衡阳市人才奖励津贴14.4万元，购房补贴10万元。</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（4）享受医院科研立项、论文、成果、专利等奖励。</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（5）人才培育</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医院具有完善的人才培养体系，入职后表现优异者，在公费出国研修、科研脱产、人才项目申报、入选青年人才培育计划、岗位聘用、职称晋升等方面可优先推荐。</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p>
    <w:p w:rsidR="00FF6855" w:rsidRPr="00FF6855" w:rsidRDefault="00FF6855" w:rsidP="00FF6855">
      <w:pPr>
        <w:widowControl/>
        <w:shd w:val="clear" w:color="auto" w:fill="FFFFFF"/>
        <w:wordWrap w:val="0"/>
        <w:ind w:firstLine="480"/>
        <w:jc w:val="center"/>
        <w:rPr>
          <w:rFonts w:ascii="宋体" w:eastAsia="宋体" w:hAnsi="宋体" w:cs="宋体"/>
          <w:color w:val="747474"/>
          <w:kern w:val="0"/>
          <w:sz w:val="24"/>
          <w:szCs w:val="24"/>
        </w:rPr>
      </w:pPr>
      <w:r w:rsidRPr="00FF6855">
        <w:rPr>
          <w:rFonts w:ascii="微软雅黑" w:eastAsia="微软雅黑" w:hAnsi="微软雅黑" w:cs="宋体" w:hint="eastAsia"/>
          <w:b/>
          <w:bCs/>
          <w:color w:val="747474"/>
          <w:kern w:val="0"/>
          <w:sz w:val="24"/>
          <w:szCs w:val="24"/>
        </w:rPr>
        <w:lastRenderedPageBreak/>
        <w:t>报名方式</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将简历命名为“学历+岗位名称+姓名”，发送至报名专用邮箱nhfyrlzyb@vip.163.com，并与医院确认是否收到邮件。</w:t>
      </w:r>
    </w:p>
    <w:p w:rsidR="00FF6855" w:rsidRPr="00FF6855" w:rsidRDefault="00FF6855" w:rsidP="00FF6855">
      <w:pPr>
        <w:widowControl/>
        <w:shd w:val="clear" w:color="auto" w:fill="FFFFFF"/>
        <w:wordWrap w:val="0"/>
        <w:ind w:firstLine="480"/>
        <w:jc w:val="left"/>
        <w:rPr>
          <w:rFonts w:ascii="宋体" w:eastAsia="宋体" w:hAnsi="宋体" w:cs="宋体"/>
          <w:color w:val="747474"/>
          <w:kern w:val="0"/>
          <w:sz w:val="24"/>
          <w:szCs w:val="24"/>
        </w:rPr>
      </w:pPr>
      <w:r w:rsidRPr="00FF6855">
        <w:rPr>
          <w:rFonts w:ascii="微软雅黑" w:eastAsia="微软雅黑" w:hAnsi="微软雅黑" w:cs="宋体" w:hint="eastAsia"/>
          <w:color w:val="747474"/>
          <w:kern w:val="0"/>
          <w:sz w:val="24"/>
          <w:szCs w:val="24"/>
        </w:rPr>
        <w:t>联系人：人力资源部 肖老师 李老师  0734-8279405</w:t>
      </w:r>
    </w:p>
    <w:p w:rsidR="00EE627F" w:rsidRPr="00FF6855" w:rsidRDefault="00EE627F">
      <w:bookmarkStart w:id="0" w:name="_GoBack"/>
      <w:bookmarkEnd w:id="0"/>
    </w:p>
    <w:sectPr w:rsidR="00EE627F" w:rsidRPr="00FF6855" w:rsidSect="00FF6855">
      <w:pgSz w:w="20160" w:h="12240" w:orient="landscape" w:code="5"/>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7F" w:rsidRDefault="00866B7F" w:rsidP="00FF6855">
      <w:r>
        <w:separator/>
      </w:r>
    </w:p>
  </w:endnote>
  <w:endnote w:type="continuationSeparator" w:id="0">
    <w:p w:rsidR="00866B7F" w:rsidRDefault="00866B7F" w:rsidP="00F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7F" w:rsidRDefault="00866B7F" w:rsidP="00FF6855">
      <w:r>
        <w:separator/>
      </w:r>
    </w:p>
  </w:footnote>
  <w:footnote w:type="continuationSeparator" w:id="0">
    <w:p w:rsidR="00866B7F" w:rsidRDefault="00866B7F" w:rsidP="00FF6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0"/>
    <w:rsid w:val="00866B7F"/>
    <w:rsid w:val="00EE627F"/>
    <w:rsid w:val="00EF1A30"/>
    <w:rsid w:val="00FF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4F397E-B9AF-4A11-BFE9-0391C15A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855"/>
    <w:rPr>
      <w:sz w:val="18"/>
      <w:szCs w:val="18"/>
    </w:rPr>
  </w:style>
  <w:style w:type="paragraph" w:styleId="a4">
    <w:name w:val="footer"/>
    <w:basedOn w:val="a"/>
    <w:link w:val="Char0"/>
    <w:uiPriority w:val="99"/>
    <w:unhideWhenUsed/>
    <w:rsid w:val="00FF6855"/>
    <w:pPr>
      <w:tabs>
        <w:tab w:val="center" w:pos="4153"/>
        <w:tab w:val="right" w:pos="8306"/>
      </w:tabs>
      <w:snapToGrid w:val="0"/>
      <w:jc w:val="left"/>
    </w:pPr>
    <w:rPr>
      <w:sz w:val="18"/>
      <w:szCs w:val="18"/>
    </w:rPr>
  </w:style>
  <w:style w:type="character" w:customStyle="1" w:styleId="Char0">
    <w:name w:val="页脚 Char"/>
    <w:basedOn w:val="a0"/>
    <w:link w:val="a4"/>
    <w:uiPriority w:val="99"/>
    <w:rsid w:val="00FF6855"/>
    <w:rPr>
      <w:sz w:val="18"/>
      <w:szCs w:val="18"/>
    </w:rPr>
  </w:style>
  <w:style w:type="paragraph" w:styleId="a5">
    <w:name w:val="Normal (Web)"/>
    <w:basedOn w:val="a"/>
    <w:uiPriority w:val="99"/>
    <w:semiHidden/>
    <w:unhideWhenUsed/>
    <w:rsid w:val="00FF685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6855"/>
    <w:rPr>
      <w:b/>
      <w:bCs/>
    </w:rPr>
  </w:style>
  <w:style w:type="paragraph" w:styleId="a7">
    <w:name w:val="List Paragraph"/>
    <w:basedOn w:val="a"/>
    <w:uiPriority w:val="34"/>
    <w:qFormat/>
    <w:rsid w:val="00FF68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675</Words>
  <Characters>3852</Characters>
  <Application>Microsoft Office Word</Application>
  <DocSecurity>0</DocSecurity>
  <Lines>32</Lines>
  <Paragraphs>9</Paragraphs>
  <ScaleCrop>false</ScaleCrop>
  <Company>Windows 中国</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2022-11-10T08:07:00Z</dcterms:created>
  <dcterms:modified xsi:type="dcterms:W3CDTF">2022-11-10T08:07:00Z</dcterms:modified>
</cp:coreProperties>
</file>